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jc w:val="right"/>
        <w:rPr>
          <w:lang w:val="ru-RU"/>
        </w:rPr>
      </w:pPr>
      <w:r>
        <w:rPr>
          <w:lang w:val="ru-RU"/>
        </w:rPr>
        <w:t xml:space="preserve">Приложение  1 </w:t>
      </w:r>
    </w:p>
    <w:p>
      <w:pPr>
        <w:pStyle w:val="BodyText"/>
        <w:jc w:val="right"/>
        <w:rPr>
          <w:lang w:val="ru-RU"/>
        </w:rPr>
      </w:pPr>
      <w:r>
        <w:rPr>
          <w:lang w:val="ru-RU"/>
        </w:rPr>
        <w:t>к приказу от 30.12.202</w:t>
      </w:r>
      <w:r>
        <w:rPr>
          <w:rFonts w:eastAsia="Times New Roman" w:cs="Times New Roman"/>
          <w:color w:val="00000A"/>
          <w:kern w:val="0"/>
          <w:sz w:val="22"/>
          <w:szCs w:val="22"/>
          <w:lang w:val="ru-RU" w:eastAsia="en-US" w:bidi="ar-SA"/>
        </w:rPr>
        <w:t>2</w:t>
      </w:r>
      <w:r>
        <w:rPr>
          <w:lang w:val="ru-RU"/>
        </w:rPr>
        <w:t xml:space="preserve"> № 180</w:t>
      </w:r>
    </w:p>
    <w:p>
      <w:pPr>
        <w:pStyle w:val="BodyText"/>
        <w:jc w:val="center"/>
        <w:rPr>
          <w:lang w:val="ru-RU"/>
        </w:rPr>
      </w:pPr>
      <w:r>
        <w:rPr>
          <w:lang w:val="ru-RU"/>
        </w:rPr>
      </w:r>
    </w:p>
    <w:p>
      <w:pPr>
        <w:pStyle w:val="BodyText"/>
        <w:jc w:val="both"/>
        <w:rPr>
          <w:lang w:val="ru-RU"/>
        </w:rPr>
      </w:pPr>
      <w:r>
        <w:rPr>
          <w:lang w:val="ru-RU"/>
        </w:rPr>
        <w:t>Единая учетная политика разработана при  централизации бухгалтерского (бюджетного) учета для муниципальных казенных, бюджетных и автономных учреждений, передавших по договору полномочия по ведению бухгалтерского (бюджетного) учета и формированию бухгалтерской (финансовой) отчетности муниципальному казенному учреждению «Централизованная бухгалтерия образования», в соответствии:</w:t>
      </w:r>
    </w:p>
    <w:p>
      <w:pPr>
        <w:pStyle w:val="Normal"/>
        <w:numPr>
          <w:ilvl w:val="0"/>
          <w:numId w:val="1"/>
        </w:numPr>
        <w:jc w:val="both"/>
        <w:rPr/>
      </w:pPr>
      <w:r>
        <w:rPr>
          <w:rFonts w:cs="Times New Roman"/>
          <w:color w:val="342A06"/>
          <w:sz w:val="24"/>
          <w:szCs w:val="24"/>
          <w:u w:val="none"/>
        </w:rPr>
        <w:t> </w:t>
      </w:r>
      <w:r>
        <w:rPr>
          <w:rFonts w:cs="Times New Roman"/>
          <w:color w:val="342A06"/>
          <w:sz w:val="24"/>
          <w:szCs w:val="24"/>
          <w:u w:val="none"/>
          <w:lang w:val="ru-RU"/>
        </w:rPr>
        <w:t>приказом</w:t>
      </w:r>
      <w:r>
        <w:fldChar w:fldCharType="begin"/>
      </w:r>
      <w:r>
        <w:rPr>
          <w:sz w:val="24"/>
          <w:u w:val="none"/>
          <w:szCs w:val="24"/>
          <w:rFonts w:cs="Times New Roman"/>
          <w:color w:val="342A06"/>
          <w:lang w:val="ru-RU"/>
        </w:rPr>
        <w:instrText xml:space="preserve"> HYPERLINK "https://www.gosfinansy.ru/" \l "/document/99/902249301/XA00M6G2N3/"</w:instrText>
      </w:r>
      <w:r>
        <w:rPr>
          <w:sz w:val="24"/>
          <w:u w:val="none"/>
          <w:szCs w:val="24"/>
          <w:rFonts w:cs="Times New Roman"/>
          <w:color w:val="342A06"/>
          <w:lang w:val="ru-RU"/>
        </w:rPr>
        <w:fldChar w:fldCharType="separate"/>
      </w:r>
      <w:r>
        <w:rPr>
          <w:rFonts w:cs="Times New Roman"/>
          <w:color w:val="342A06"/>
          <w:sz w:val="24"/>
          <w:szCs w:val="24"/>
          <w:u w:val="none"/>
          <w:lang w:val="ru-RU"/>
        </w:rPr>
        <w:t xml:space="preserve"> Министерства финансов Российской Федерации от 01.12.2010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r>
        <w:rPr>
          <w:sz w:val="24"/>
          <w:u w:val="none"/>
          <w:szCs w:val="24"/>
          <w:rFonts w:cs="Times New Roman"/>
          <w:color w:val="342A06"/>
          <w:lang w:val="ru-RU"/>
        </w:rPr>
        <w:fldChar w:fldCharType="end"/>
      </w:r>
      <w:r>
        <w:rPr>
          <w:rFonts w:cs="Times New Roman"/>
          <w:color w:val="342A06"/>
          <w:sz w:val="24"/>
          <w:szCs w:val="24"/>
          <w:u w:val="none"/>
        </w:rPr>
        <w:t> </w:t>
      </w:r>
    </w:p>
    <w:p>
      <w:pPr>
        <w:pStyle w:val="Normal"/>
        <w:numPr>
          <w:ilvl w:val="0"/>
          <w:numId w:val="1"/>
        </w:numPr>
        <w:jc w:val="both"/>
        <w:rPr/>
      </w:pPr>
      <w:r>
        <w:rPr>
          <w:rFonts w:cs="Times New Roman"/>
          <w:color w:val="342A06"/>
          <w:sz w:val="24"/>
          <w:szCs w:val="24"/>
          <w:u w:val="none"/>
        </w:rPr>
        <w:t> </w:t>
      </w:r>
      <w:r>
        <w:rPr>
          <w:rFonts w:cs="Times New Roman"/>
          <w:color w:val="342A06"/>
          <w:sz w:val="24"/>
          <w:szCs w:val="24"/>
          <w:u w:val="none"/>
        </w:rPr>
        <w:t>приказом Министерства</w:t>
      </w:r>
      <w:r>
        <w:fldChar w:fldCharType="begin"/>
      </w:r>
      <w:r>
        <w:rPr>
          <w:sz w:val="24"/>
          <w:u w:val="none"/>
          <w:szCs w:val="24"/>
          <w:rFonts w:cs="Times New Roman"/>
          <w:color w:val="342A06"/>
        </w:rPr>
        <w:instrText xml:space="preserve"> HYPERLINK "https://www.gosfinansy.ru/" \l "/document/99/902250003/"</w:instrText>
      </w:r>
      <w:r>
        <w:rPr>
          <w:sz w:val="24"/>
          <w:u w:val="none"/>
          <w:szCs w:val="24"/>
          <w:rFonts w:cs="Times New Roman"/>
          <w:color w:val="342A06"/>
        </w:rPr>
        <w:fldChar w:fldCharType="separate"/>
      </w:r>
      <w:r>
        <w:rPr>
          <w:rFonts w:cs="Times New Roman"/>
          <w:color w:val="342A06"/>
          <w:sz w:val="24"/>
          <w:szCs w:val="24"/>
          <w:u w:val="none"/>
        </w:rPr>
        <w:t xml:space="preserve"> финансов Российской Федерации от 06.12.2010 № 162н "Об утверждении Плана счетов бюджетного учета и Инструкции по его применению"</w:t>
      </w:r>
      <w:r>
        <w:rPr>
          <w:sz w:val="24"/>
          <w:u w:val="none"/>
          <w:szCs w:val="24"/>
          <w:rFonts w:cs="Times New Roman"/>
          <w:color w:val="342A06"/>
        </w:rPr>
        <w:fldChar w:fldCharType="end"/>
      </w:r>
      <w:r>
        <w:rPr>
          <w:rFonts w:cs="Times New Roman"/>
          <w:color w:val="342A06"/>
          <w:sz w:val="24"/>
          <w:szCs w:val="24"/>
          <w:u w:val="none"/>
        </w:rPr>
        <w:t> </w:t>
      </w:r>
    </w:p>
    <w:p>
      <w:pPr>
        <w:pStyle w:val="Normal"/>
        <w:numPr>
          <w:ilvl w:val="0"/>
          <w:numId w:val="1"/>
        </w:numPr>
        <w:jc w:val="both"/>
        <w:rPr/>
      </w:pPr>
      <w:r>
        <w:rPr>
          <w:rFonts w:cs="Times New Roman"/>
          <w:color w:val="342A06"/>
          <w:sz w:val="24"/>
          <w:szCs w:val="24"/>
          <w:u w:val="none"/>
        </w:rPr>
        <w:t> </w:t>
      </w:r>
      <w:r>
        <w:fldChar w:fldCharType="begin"/>
      </w:r>
      <w:r>
        <w:rPr>
          <w:sz w:val="24"/>
          <w:u w:val="none"/>
          <w:szCs w:val="24"/>
          <w:rFonts w:cs="Times New Roman"/>
          <w:color w:val="342A06"/>
        </w:rPr>
        <w:instrText xml:space="preserve"> HYPERLINK "https://www.gosfinansy.ru/" \l "/document/99/902254657/XA00M6G2N3/"</w:instrText>
      </w:r>
      <w:r>
        <w:rPr>
          <w:sz w:val="24"/>
          <w:u w:val="none"/>
          <w:szCs w:val="24"/>
          <w:rFonts w:cs="Times New Roman"/>
          <w:color w:val="342A06"/>
        </w:rPr>
        <w:fldChar w:fldCharType="separate"/>
      </w:r>
      <w:r>
        <w:rPr>
          <w:rFonts w:cs="Times New Roman"/>
          <w:color w:val="342A06"/>
          <w:sz w:val="24"/>
          <w:szCs w:val="24"/>
          <w:u w:val="none"/>
        </w:rPr>
        <w:t>приказом Министерства финансов Российской Федерации от 28.12.2010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r>
        <w:rPr>
          <w:sz w:val="24"/>
          <w:u w:val="none"/>
          <w:szCs w:val="24"/>
          <w:rFonts w:cs="Times New Roman"/>
          <w:color w:val="342A06"/>
        </w:rPr>
        <w:fldChar w:fldCharType="end"/>
      </w:r>
      <w:r>
        <w:rPr>
          <w:rFonts w:cs="Times New Roman"/>
          <w:color w:val="342A06"/>
          <w:sz w:val="24"/>
          <w:szCs w:val="24"/>
          <w:u w:val="none"/>
        </w:rPr>
        <w:t> </w:t>
      </w:r>
    </w:p>
    <w:p>
      <w:pPr>
        <w:pStyle w:val="Normal"/>
        <w:numPr>
          <w:ilvl w:val="0"/>
          <w:numId w:val="1"/>
        </w:numPr>
        <w:jc w:val="both"/>
        <w:rPr/>
      </w:pPr>
      <w:r>
        <w:rPr>
          <w:rFonts w:cs="Times New Roman"/>
          <w:color w:val="342A06"/>
          <w:sz w:val="24"/>
          <w:szCs w:val="24"/>
          <w:u w:val="none"/>
        </w:rPr>
        <w:t> </w:t>
      </w:r>
      <w:r>
        <w:fldChar w:fldCharType="begin"/>
      </w:r>
      <w:r>
        <w:rPr>
          <w:sz w:val="24"/>
          <w:u w:val="none"/>
          <w:szCs w:val="24"/>
          <w:rFonts w:cs="Times New Roman"/>
          <w:color w:val="342A06"/>
        </w:rPr>
        <w:instrText xml:space="preserve"> HYPERLINK "https://www.gosfinansy.ru/" \l "/document/99/902254660/XA00M1S2LR/"</w:instrText>
      </w:r>
      <w:r>
        <w:rPr>
          <w:sz w:val="24"/>
          <w:u w:val="none"/>
          <w:szCs w:val="24"/>
          <w:rFonts w:cs="Times New Roman"/>
          <w:color w:val="342A06"/>
        </w:rPr>
        <w:fldChar w:fldCharType="separate"/>
      </w:r>
      <w:r>
        <w:rPr>
          <w:rFonts w:cs="Times New Roman"/>
          <w:color w:val="342A06"/>
          <w:sz w:val="24"/>
          <w:szCs w:val="24"/>
          <w:u w:val="none"/>
        </w:rPr>
        <w:t>приказом Министерства финансов Российской Федерации от 16.12.2010 № 174н "Об утверждении Плана счетов бухгалтерского учета бюджетных учреждений и Инструкции по его применению"</w:t>
      </w:r>
      <w:r>
        <w:rPr>
          <w:sz w:val="24"/>
          <w:u w:val="none"/>
          <w:szCs w:val="24"/>
          <w:rFonts w:cs="Times New Roman"/>
          <w:color w:val="342A06"/>
        </w:rPr>
        <w:fldChar w:fldCharType="end"/>
      </w:r>
    </w:p>
    <w:p>
      <w:pPr>
        <w:pStyle w:val="Normal"/>
        <w:numPr>
          <w:ilvl w:val="0"/>
          <w:numId w:val="1"/>
        </w:numPr>
        <w:jc w:val="both"/>
        <w:rPr/>
      </w:pPr>
      <w:r>
        <w:rPr>
          <w:rFonts w:cs="Times New Roman"/>
          <w:color w:val="342A06"/>
          <w:sz w:val="24"/>
          <w:szCs w:val="24"/>
          <w:u w:val="none"/>
        </w:rPr>
        <w:t> </w:t>
      </w:r>
      <w:r>
        <w:fldChar w:fldCharType="begin"/>
      </w:r>
      <w:r>
        <w:rPr>
          <w:sz w:val="24"/>
          <w:u w:val="none"/>
          <w:szCs w:val="24"/>
          <w:rFonts w:cs="Times New Roman"/>
          <w:color w:val="342A06"/>
        </w:rPr>
        <w:instrText xml:space="preserve"> HYPERLINK "https://www.gosfinansy.ru/" \l "/document/99/902254661/XA00M1S2LR/"</w:instrText>
      </w:r>
      <w:r>
        <w:rPr>
          <w:sz w:val="24"/>
          <w:u w:val="none"/>
          <w:szCs w:val="24"/>
          <w:rFonts w:cs="Times New Roman"/>
          <w:color w:val="342A06"/>
        </w:rPr>
        <w:fldChar w:fldCharType="separate"/>
      </w:r>
      <w:r>
        <w:rPr>
          <w:rFonts w:cs="Times New Roman"/>
          <w:color w:val="342A06"/>
          <w:sz w:val="24"/>
          <w:szCs w:val="24"/>
          <w:u w:val="none"/>
        </w:rPr>
        <w:t>приказом Министерства финансов Российской Федерации от 23.12.2010 № 183н "Об утверждении Плана счетов бухгалтерского учета автономных учреждений и Инструкции по его применению"</w:t>
      </w:r>
      <w:r>
        <w:rPr>
          <w:sz w:val="24"/>
          <w:u w:val="none"/>
          <w:szCs w:val="24"/>
          <w:rFonts w:cs="Times New Roman"/>
          <w:color w:val="342A06"/>
        </w:rPr>
        <w:fldChar w:fldCharType="end"/>
      </w:r>
      <w:r>
        <w:rPr>
          <w:rFonts w:cs="Times New Roman"/>
          <w:color w:val="342A06"/>
          <w:sz w:val="24"/>
          <w:szCs w:val="24"/>
          <w:u w:val="none"/>
        </w:rPr>
        <w:t> </w:t>
      </w:r>
    </w:p>
    <w:p>
      <w:pPr>
        <w:pStyle w:val="Normal"/>
        <w:numPr>
          <w:ilvl w:val="0"/>
          <w:numId w:val="1"/>
        </w:numPr>
        <w:jc w:val="both"/>
        <w:rPr/>
      </w:pPr>
      <w:r>
        <w:rPr>
          <w:rFonts w:cs="Times New Roman"/>
          <w:color w:val="342A06"/>
          <w:sz w:val="24"/>
          <w:szCs w:val="24"/>
          <w:u w:val="none"/>
        </w:rPr>
        <w:t> </w:t>
      </w:r>
      <w:r>
        <w:fldChar w:fldCharType="begin"/>
      </w:r>
      <w:r>
        <w:rPr>
          <w:sz w:val="24"/>
          <w:u w:val="none"/>
          <w:szCs w:val="24"/>
          <w:rFonts w:cs="Times New Roman"/>
          <w:color w:val="342A06"/>
        </w:rPr>
        <w:instrText xml:space="preserve"> HYPERLINK "https://www.gosfinansy.ru/" \l "/document/99/902271090/"</w:instrText>
      </w:r>
      <w:r>
        <w:rPr>
          <w:sz w:val="24"/>
          <w:u w:val="none"/>
          <w:szCs w:val="24"/>
          <w:rFonts w:cs="Times New Roman"/>
          <w:color w:val="342A06"/>
        </w:rPr>
        <w:fldChar w:fldCharType="separate"/>
      </w:r>
      <w:r>
        <w:rPr>
          <w:rFonts w:cs="Times New Roman"/>
          <w:color w:val="342A06"/>
          <w:sz w:val="24"/>
          <w:szCs w:val="24"/>
          <w:u w:val="none"/>
        </w:rPr>
        <w:t>приказом Министерства финансов Российской Федерации от 25.03.2011 №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r>
        <w:rPr>
          <w:sz w:val="24"/>
          <w:u w:val="none"/>
          <w:szCs w:val="24"/>
          <w:rFonts w:cs="Times New Roman"/>
          <w:color w:val="342A06"/>
        </w:rPr>
        <w:fldChar w:fldCharType="end"/>
      </w:r>
      <w:r>
        <w:rPr>
          <w:rFonts w:cs="Times New Roman"/>
          <w:color w:val="342A06"/>
          <w:sz w:val="24"/>
          <w:szCs w:val="24"/>
          <w:u w:val="none"/>
        </w:rPr>
        <w:t> </w:t>
      </w:r>
    </w:p>
    <w:p>
      <w:pPr>
        <w:pStyle w:val="Normal"/>
        <w:numPr>
          <w:ilvl w:val="0"/>
          <w:numId w:val="1"/>
        </w:numPr>
        <w:jc w:val="both"/>
        <w:rPr/>
      </w:pPr>
      <w:r>
        <w:rPr>
          <w:rFonts w:cs="Times New Roman"/>
          <w:color w:val="342A06"/>
          <w:sz w:val="24"/>
          <w:szCs w:val="24"/>
          <w:u w:val="none"/>
        </w:rPr>
        <w:t xml:space="preserve"> </w:t>
      </w:r>
      <w:r>
        <w:rPr>
          <w:rFonts w:cs="Times New Roman"/>
          <w:color w:val="342A06"/>
          <w:sz w:val="24"/>
          <w:szCs w:val="24"/>
          <w:u w:val="none"/>
        </w:rPr>
        <w:t>приказом Министерства фин</w:t>
      </w:r>
      <w:r>
        <w:rPr>
          <w:rFonts w:cs="Times New Roman"/>
          <w:sz w:val="24"/>
          <w:szCs w:val="24"/>
          <w:u w:val="none"/>
        </w:rPr>
        <w:t>ансов Российской Федерации от 29.11.2017 № 209н «Об утверждении Порядка применения классификации операций сектора государственного управления»;</w:t>
      </w:r>
    </w:p>
    <w:p>
      <w:pPr>
        <w:pStyle w:val="Normal"/>
        <w:numPr>
          <w:ilvl w:val="0"/>
          <w:numId w:val="1"/>
        </w:numPr>
        <w:jc w:val="both"/>
        <w:rPr>
          <w:rFonts w:ascii="Times New Roman" w:hAnsi="Times New Roman" w:cs="Times New Roman"/>
          <w:sz w:val="24"/>
          <w:szCs w:val="24"/>
          <w:u w:val="none"/>
        </w:rPr>
      </w:pPr>
      <w:r>
        <w:rPr>
          <w:rFonts w:cs="Times New Roman"/>
          <w:sz w:val="24"/>
          <w:szCs w:val="24"/>
          <w:u w:val="none"/>
        </w:rPr>
        <w:t>приказом Министерства финансов Российской Федерации от 30.03.2015 № 52н «Об утверждении форм первичных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(муниципальными) учреждениями и Методических указаний по их применению»;</w:t>
      </w:r>
    </w:p>
    <w:p>
      <w:pPr>
        <w:pStyle w:val="Normal"/>
        <w:numPr>
          <w:ilvl w:val="0"/>
          <w:numId w:val="1"/>
        </w:numPr>
        <w:jc w:val="both"/>
        <w:rPr>
          <w:rFonts w:ascii="Times New Roman" w:hAnsi="Times New Roman" w:cs="Times New Roman"/>
          <w:sz w:val="24"/>
          <w:szCs w:val="24"/>
          <w:u w:val="none"/>
        </w:rPr>
      </w:pPr>
      <w:r>
        <w:rPr>
          <w:rFonts w:cs="Times New Roman"/>
          <w:sz w:val="24"/>
          <w:szCs w:val="24"/>
          <w:u w:val="none"/>
        </w:rPr>
        <w:t xml:space="preserve"> </w:t>
      </w:r>
      <w:r>
        <w:rPr>
          <w:rFonts w:cs="Times New Roman"/>
          <w:sz w:val="24"/>
          <w:szCs w:val="24"/>
          <w:u w:val="none"/>
        </w:rPr>
        <w:t>приказом Министерства финансов Российской Федерации от 13.06.1995  № 49 «Об утверждении методических указаний по инвентаризации имущества и финансовых обязательств»;</w:t>
      </w:r>
    </w:p>
    <w:p>
      <w:pPr>
        <w:pStyle w:val="Normal"/>
        <w:numPr>
          <w:ilvl w:val="0"/>
          <w:numId w:val="1"/>
        </w:numPr>
        <w:jc w:val="both"/>
        <w:rPr/>
      </w:pPr>
      <w:r>
        <w:rPr>
          <w:rFonts w:cs="Times New Roman"/>
          <w:sz w:val="24"/>
          <w:szCs w:val="24"/>
          <w:u w:val="none"/>
        </w:rPr>
        <w:t xml:space="preserve"> </w:t>
      </w:r>
      <w:r>
        <w:rPr>
          <w:rFonts w:cs="Times New Roman"/>
          <w:sz w:val="24"/>
          <w:szCs w:val="24"/>
          <w:u w:val="none"/>
        </w:rPr>
        <w:t xml:space="preserve">приказом Министерства финансов Российской Федерации от </w:t>
      </w:r>
      <w:r>
        <w:rPr>
          <w:rFonts w:cs="Times New Roman"/>
          <w:sz w:val="24"/>
          <w:szCs w:val="24"/>
          <w:u w:val="none"/>
          <w:lang w:val="ru-RU" w:eastAsia="zh-CN" w:bidi="ar-SA"/>
        </w:rPr>
        <w:t>24</w:t>
      </w:r>
      <w:r>
        <w:rPr>
          <w:rFonts w:cs="Times New Roman"/>
          <w:sz w:val="24"/>
          <w:szCs w:val="24"/>
          <w:u w:val="none"/>
        </w:rPr>
        <w:t>.0</w:t>
      </w:r>
      <w:r>
        <w:rPr>
          <w:rFonts w:cs="Times New Roman"/>
          <w:sz w:val="24"/>
          <w:szCs w:val="24"/>
          <w:u w:val="none"/>
          <w:lang w:val="ru-RU" w:eastAsia="zh-CN" w:bidi="ar-SA"/>
        </w:rPr>
        <w:t>5</w:t>
      </w:r>
      <w:r>
        <w:rPr>
          <w:rFonts w:cs="Times New Roman"/>
          <w:sz w:val="24"/>
          <w:szCs w:val="24"/>
          <w:u w:val="none"/>
        </w:rPr>
        <w:t>.2022 № 8</w:t>
      </w:r>
      <w:r>
        <w:rPr>
          <w:rFonts w:cs="Times New Roman"/>
          <w:sz w:val="24"/>
          <w:szCs w:val="24"/>
          <w:u w:val="none"/>
          <w:lang w:val="ru-RU" w:eastAsia="zh-CN" w:bidi="ar-SA"/>
        </w:rPr>
        <w:t>2</w:t>
      </w:r>
      <w:r>
        <w:rPr>
          <w:rFonts w:cs="Times New Roman"/>
          <w:sz w:val="24"/>
          <w:szCs w:val="24"/>
          <w:u w:val="none"/>
        </w:rPr>
        <w:t>н «О порядке формирования и применения кодов бюджетной классификации Российской Федерации, их структуре и принципах назначения»</w:t>
      </w:r>
    </w:p>
    <w:p>
      <w:pPr>
        <w:pStyle w:val="Normal"/>
        <w:numPr>
          <w:ilvl w:val="0"/>
          <w:numId w:val="1"/>
        </w:numPr>
        <w:jc w:val="both"/>
        <w:rPr>
          <w:rFonts w:ascii="Times New Roman" w:hAnsi="Times New Roman" w:cs="Times New Roman"/>
          <w:sz w:val="24"/>
          <w:szCs w:val="24"/>
          <w:u w:val="none"/>
        </w:rPr>
      </w:pPr>
      <w:r>
        <w:rPr>
          <w:rFonts w:cs="Times New Roman"/>
          <w:sz w:val="24"/>
          <w:szCs w:val="24"/>
          <w:u w:val="none"/>
        </w:rPr>
        <w:t>приказом Министерства финансов Российской Федерации от 15.04.2021 № 61н «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(муниципальных)учреждений, и Методических указаний по их формированию и применению»</w:t>
      </w:r>
    </w:p>
    <w:p>
      <w:pPr>
        <w:pStyle w:val="Normal"/>
        <w:numPr>
          <w:ilvl w:val="0"/>
          <w:numId w:val="1"/>
        </w:numPr>
        <w:jc w:val="both"/>
        <w:rPr>
          <w:color w:val="000000"/>
          <w:sz w:val="24"/>
          <w:szCs w:val="24"/>
        </w:rPr>
      </w:pPr>
      <w:r>
        <w:rPr>
          <w:rFonts w:cs="Times New Roman"/>
          <w:color w:val="000000"/>
          <w:sz w:val="24"/>
          <w:szCs w:val="24"/>
          <w:u w:val="none"/>
          <w:lang w:val="ru-RU"/>
        </w:rPr>
        <w:t>федеральными стандартами бухгалтерского учета для организаций государственного сектора, утвержденными приказами Минфина России от  31.12.2016 г № 256 н «Концептуальные основы бухгалтерского учета и отчетности организаций государственного сектора» (Стандарт «Концептуальные основы бухучета и отчетности»); № 257 н «Основные средства» (Стандарт «Основные средства»); № 258 н «Аренда» (Стандарт «Аренда»); № 259 н «Обесценение активов» (Стандарт «Обесценение активов»); №260 н «Представление бухгалтерской (финансовой) отчетности» (Стандарт «Представление отчетности»); от 30.12.2017 № 274н «Учетная политика, оценочные значения и ошибки» (СГС «Учетная политика, оценочные значения и ошибки»; № 275 н «События после отчетной даты» (СГС «События после отчетной даты»);  №</w:t>
      </w:r>
      <w:r>
        <w:rPr>
          <w:rFonts w:cs="Times New Roman"/>
          <w:color w:val="000000"/>
          <w:sz w:val="24"/>
          <w:szCs w:val="24"/>
          <w:lang w:val="ru-RU"/>
        </w:rPr>
        <w:t xml:space="preserve"> 278 н «Отчет о движении денежных средств» ( СГС «Отчет о движении денежных средств»); от 27.02.2018 № 32н «Доходы» (СГС «Доходы»); от 28.02.2018 №34н «Непроизведенные активы» (СГС «Непроизведееные активы) от 30.05.2018 № 122н «Влияние изменений курсов иностранных валют» (СГС «Влияние изменений курсов иностранных валют») от 30.05.2018 № 124н СГС «Резервы. Раскрытие информации об условных обязательствах и условных активах» , от 07.12.2018 №256н (далее СГС «Запасы»), от 29.06.2018 № 145н (далее СГС «Долгосрочные договоры»); от 15.11.2019 № 181н, №182н,№183н,№184н (далее соответственно СГС «Нематериальные активы» СГС «Затраты по заимствованиям» «Современная деятельность» «Выплаты персоналу»), от 30.06.2020 № 129н (далее СГС «Финансовый инструмент», от 15.06.2021 №84н (далее СГС «Государственная (муниципальная) казна»).</w:t>
      </w:r>
    </w:p>
    <w:p>
      <w:pPr>
        <w:pStyle w:val="BodyText"/>
        <w:jc w:val="center"/>
        <w:rPr/>
      </w:pPr>
      <w:r>
        <w:rPr/>
        <w:t>Используемые термины и сокращения</w:t>
      </w:r>
    </w:p>
    <w:tbl>
      <w:tblPr>
        <w:tblW w:w="10545" w:type="dxa"/>
        <w:jc w:val="left"/>
        <w:tblInd w:w="-16" w:type="dxa"/>
        <w:tblLayout w:type="fixed"/>
        <w:tblCellMar>
          <w:top w:w="75" w:type="dxa"/>
          <w:left w:w="7" w:type="dxa"/>
          <w:bottom w:w="75" w:type="dxa"/>
          <w:right w:w="60" w:type="dxa"/>
        </w:tblCellMar>
        <w:tblLook w:val="00a0"/>
      </w:tblPr>
      <w:tblGrid>
        <w:gridCol w:w="5272"/>
        <w:gridCol w:w="5272"/>
      </w:tblGrid>
      <w:tr>
        <w:trPr/>
        <w:tc>
          <w:tcPr>
            <w:tcW w:w="527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Наименование</w:t>
            </w:r>
          </w:p>
        </w:tc>
        <w:tc>
          <w:tcPr>
            <w:tcW w:w="527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Расшифровка</w:t>
            </w:r>
          </w:p>
        </w:tc>
      </w:tr>
      <w:tr>
        <w:trPr/>
        <w:tc>
          <w:tcPr>
            <w:tcW w:w="527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Учреждения</w:t>
            </w:r>
          </w:p>
        </w:tc>
        <w:tc>
          <w:tcPr>
            <w:tcW w:w="527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lang w:val="ru-RU"/>
              </w:rPr>
            </w:pPr>
            <w:r>
              <w:rPr>
                <w:lang w:val="ru-RU"/>
              </w:rPr>
              <w:t>Муниципальные казенные, бюджетные и автономные учреждения, передавшие полномочия муниципальному казенному учреждению «Централизованная бухгалтерия образования» по ведению бухгалтерского (бюджетного) учета и формированию бухгалтерской (бюджетной) отчетности</w:t>
            </w:r>
          </w:p>
        </w:tc>
      </w:tr>
      <w:tr>
        <w:trPr/>
        <w:tc>
          <w:tcPr>
            <w:tcW w:w="527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Централизованная бухгалтерия</w:t>
            </w:r>
          </w:p>
        </w:tc>
        <w:tc>
          <w:tcPr>
            <w:tcW w:w="527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lang w:val="ru-RU"/>
              </w:rPr>
            </w:pPr>
            <w:r>
              <w:rPr>
                <w:lang w:val="ru-RU"/>
              </w:rPr>
              <w:t>Муниципальное казенное учреждение</w:t>
            </w:r>
            <w:r>
              <w:rPr/>
              <w:t> </w:t>
            </w:r>
            <w:r>
              <w:rPr>
                <w:lang w:val="ru-RU"/>
              </w:rPr>
              <w:t>«Централизованная бухгалтерия образования муниципального образования Кавказский район»</w:t>
            </w:r>
          </w:p>
        </w:tc>
      </w:tr>
      <w:tr>
        <w:trPr/>
        <w:tc>
          <w:tcPr>
            <w:tcW w:w="527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КБК</w:t>
            </w:r>
          </w:p>
        </w:tc>
        <w:tc>
          <w:tcPr>
            <w:tcW w:w="527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lang w:val="ru-RU"/>
              </w:rPr>
            </w:pPr>
            <w:r>
              <w:rPr>
                <w:lang w:val="ru-RU"/>
              </w:rPr>
              <w:t>1–17 разряды номера счета в соответствии с Рабочим планом счетов</w:t>
            </w:r>
          </w:p>
        </w:tc>
      </w:tr>
      <w:tr>
        <w:trPr/>
        <w:tc>
          <w:tcPr>
            <w:tcW w:w="527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Х</w:t>
            </w:r>
          </w:p>
        </w:tc>
        <w:tc>
          <w:tcPr>
            <w:tcW w:w="5272" w:type="dxa"/>
            <w:tcBorders>
              <w:top w:val="single" w:sz="6" w:space="0" w:color="000001"/>
              <w:left w:val="single" w:sz="6" w:space="0" w:color="000001"/>
              <w:bottom w:val="single" w:sz="6" w:space="0" w:color="000001"/>
              <w:right w:val="single" w:sz="6" w:space="0" w:color="000001"/>
            </w:tcBorders>
          </w:tcPr>
          <w:p>
            <w:pPr>
              <w:pStyle w:val="BodyText"/>
              <w:widowControl w:val="false"/>
              <w:jc w:val="center"/>
              <w:rPr>
                <w:lang w:val="ru-RU"/>
              </w:rPr>
            </w:pPr>
            <w:r>
              <w:rPr>
                <w:lang w:val="ru-RU"/>
              </w:rPr>
              <w:t>В зависимости от того, в каком разряде номера счета бухучета стоит обозначение:</w:t>
            </w:r>
          </w:p>
          <w:p>
            <w:pPr>
              <w:pStyle w:val="BodyText"/>
              <w:widowControl w:val="false"/>
              <w:jc w:val="center"/>
              <w:rPr>
                <w:lang w:val="ru-RU"/>
              </w:rPr>
            </w:pPr>
            <w:r>
              <w:rPr>
                <w:lang w:val="ru-RU"/>
              </w:rPr>
              <w:t xml:space="preserve">– </w:t>
            </w:r>
            <w:r>
              <w:rPr>
                <w:lang w:val="ru-RU"/>
              </w:rPr>
              <w:t>18 разряд – код вида финансового обеспечения (деятельности);</w:t>
            </w:r>
          </w:p>
          <w:p>
            <w:pPr>
              <w:pStyle w:val="BodyText"/>
              <w:widowControl w:val="false"/>
              <w:spacing w:before="0" w:after="140"/>
              <w:jc w:val="center"/>
              <w:rPr>
                <w:lang w:val="ru-RU"/>
              </w:rPr>
            </w:pPr>
            <w:r>
              <w:rPr>
                <w:lang w:val="ru-RU"/>
              </w:rPr>
              <w:t xml:space="preserve">– </w:t>
            </w:r>
            <w:r>
              <w:rPr>
                <w:lang w:val="ru-RU"/>
              </w:rPr>
              <w:t>26 разряд – соответствующая подстатья КОСГУ</w:t>
            </w:r>
          </w:p>
        </w:tc>
      </w:tr>
    </w:tbl>
    <w:p>
      <w:pPr>
        <w:pStyle w:val="BodyText"/>
        <w:jc w:val="both"/>
        <w:rPr/>
      </w:pPr>
      <w:r>
        <w:rPr/>
      </w:r>
    </w:p>
    <w:p>
      <w:pPr>
        <w:pStyle w:val="BodyText"/>
        <w:jc w:val="both"/>
        <w:rPr>
          <w:color w:val="000000"/>
          <w:sz w:val="24"/>
          <w:szCs w:val="24"/>
          <w:lang w:val="ru-RU"/>
        </w:rPr>
      </w:pPr>
      <w:r>
        <w:rPr>
          <w:b/>
          <w:bCs/>
        </w:rPr>
        <w:t>I</w:t>
      </w:r>
      <w:r>
        <w:rPr>
          <w:b/>
          <w:bCs/>
          <w:lang w:val="ru-RU"/>
        </w:rPr>
        <w:t xml:space="preserve"> . Общие положения</w:t>
      </w:r>
    </w:p>
    <w:p>
      <w:pPr>
        <w:pStyle w:val="BodyText"/>
        <w:jc w:val="both"/>
        <w:rPr>
          <w:color w:val="000000"/>
          <w:sz w:val="24"/>
          <w:szCs w:val="24"/>
          <w:lang w:val="ru-RU"/>
        </w:rPr>
      </w:pPr>
      <w:r>
        <w:rPr>
          <w:lang w:val="ru-RU"/>
        </w:rPr>
        <w:t>1. Бухгалтерский</w:t>
      </w:r>
      <w:r>
        <w:rPr/>
        <w:t> </w:t>
      </w:r>
      <w:r>
        <w:rPr>
          <w:lang w:val="ru-RU"/>
        </w:rPr>
        <w:t>учет в учреждениях ведется в соответствии с Рабочим планов счетов централизованного учета. Рабочий план, правила внесения в него изменений, а также правила</w:t>
      </w:r>
      <w:r>
        <w:rPr/>
        <w:t> </w:t>
      </w:r>
      <w:r>
        <w:rPr>
          <w:lang w:val="ru-RU"/>
        </w:rPr>
        <w:t xml:space="preserve">формирования номера счета бухгалтерского учета утверждены в </w:t>
      </w:r>
      <w:r>
        <w:rPr>
          <w:rFonts w:eastAsia="Times New Roman" w:cs="Times New Roman"/>
          <w:b w:val="false"/>
          <w:bCs w:val="false"/>
          <w:color w:val="00000A"/>
          <w:kern w:val="0"/>
          <w:sz w:val="22"/>
          <w:szCs w:val="22"/>
          <w:lang w:val="ru-RU" w:eastAsia="en-US" w:bidi="ar-SA"/>
        </w:rPr>
        <w:t>П</w:t>
      </w:r>
      <w:r>
        <w:rPr>
          <w:b w:val="false"/>
          <w:bCs w:val="false"/>
          <w:lang w:val="ru-RU"/>
        </w:rPr>
        <w:t>риложении 2</w:t>
      </w:r>
      <w:r>
        <w:rPr>
          <w:lang w:val="ru-RU"/>
        </w:rPr>
        <w:t xml:space="preserve"> к настоящему приказу.</w:t>
        <w:br/>
        <w:t xml:space="preserve"> Основание: подпункт «б» пункта 14</w:t>
      </w:r>
      <w:r>
        <w:rPr/>
        <w:t> </w:t>
      </w:r>
      <w:r>
        <w:rPr>
          <w:lang w:val="ru-RU"/>
        </w:rPr>
        <w:t>СГС «Концептуальные основы бухучета и отчетности».</w:t>
      </w:r>
    </w:p>
    <w:p>
      <w:pPr>
        <w:pStyle w:val="BodyText"/>
        <w:jc w:val="both"/>
        <w:rPr>
          <w:lang w:val="ru-RU"/>
        </w:rPr>
      </w:pPr>
      <w:r>
        <w:rPr>
          <w:lang w:val="ru-RU"/>
        </w:rPr>
        <w:t xml:space="preserve">2.  Единая учетная политика применяется из года в год. Внесении изменений в единую учетную политику производится в порядке, предусмотренном разделом </w:t>
      </w:r>
      <w:r>
        <w:rPr/>
        <w:t>VI</w:t>
      </w:r>
      <w:r>
        <w:rPr>
          <w:lang w:val="ru-RU"/>
        </w:rPr>
        <w:t xml:space="preserve"> настоящего документа.</w:t>
      </w:r>
    </w:p>
    <w:p>
      <w:pPr>
        <w:pStyle w:val="BodyText"/>
        <w:jc w:val="both"/>
        <w:rPr>
          <w:lang w:val="ru-RU"/>
        </w:rPr>
      </w:pPr>
      <w:r>
        <w:rPr>
          <w:lang w:val="ru-RU"/>
        </w:rPr>
        <w:t>3. Взаимодействие</w:t>
      </w:r>
      <w:r>
        <w:rPr/>
        <w:t> </w:t>
      </w:r>
      <w:r>
        <w:rPr>
          <w:color w:val="000000"/>
          <w:lang w:val="ru-RU"/>
        </w:rPr>
        <w:t>централизованной бухгалтерии с учреждениями при формировании первичных (сводных) учетных документов,</w:t>
      </w:r>
      <w:r>
        <w:rPr>
          <w:color w:val="000000"/>
        </w:rPr>
        <w:t> </w:t>
      </w:r>
      <w:r>
        <w:rPr>
          <w:color w:val="000000"/>
          <w:lang w:val="ru-RU"/>
        </w:rPr>
        <w:t>при представлении данных бухгалтерского учета</w:t>
      </w:r>
      <w:r>
        <w:rPr>
          <w:color w:val="000000"/>
        </w:rPr>
        <w:t> </w:t>
      </w:r>
      <w:r>
        <w:rPr>
          <w:color w:val="000000"/>
          <w:lang w:val="ru-RU"/>
        </w:rPr>
        <w:t>осуществляется посредством передачи электронных документов либо электронных образов (скан-копий) бумажных</w:t>
      </w:r>
      <w:r>
        <w:rPr>
          <w:lang w:val="ru-RU"/>
        </w:rPr>
        <w:t xml:space="preserve"> документов либо бумажные документы. </w:t>
        <w:br/>
        <w:t xml:space="preserve"> Основание: подпункт «г», «д» пункта 14 СГС «Концептуальные основы бухучета и отчетности».</w:t>
      </w:r>
    </w:p>
    <w:p>
      <w:pPr>
        <w:pStyle w:val="BodyText"/>
        <w:jc w:val="both"/>
        <w:rPr>
          <w:lang w:val="ru-RU"/>
        </w:rPr>
      </w:pPr>
      <w:r>
        <w:rPr>
          <w:lang w:val="ru-RU"/>
        </w:rPr>
        <w:t xml:space="preserve">4. </w:t>
      </w:r>
      <w:r>
        <w:rPr>
          <w:color w:val="000000"/>
          <w:lang w:val="ru-RU"/>
        </w:rPr>
        <w:t>Порядок проведения</w:t>
      </w:r>
      <w:r>
        <w:rPr>
          <w:color w:val="000000"/>
        </w:rPr>
        <w:t> </w:t>
      </w:r>
      <w:r>
        <w:rPr>
          <w:color w:val="000000"/>
          <w:lang w:val="ru-RU"/>
        </w:rPr>
        <w:t>инвентаризации активов, имущества, учитываемого на забалансовых счетах, обязательств, иных объектов бухгалтерского учета устанавливается приказом управления образования. Инвентаризация  в  учреждениях проводится с 1 октября по 31 декабря,  ежегодно,  постоянно</w:t>
      </w:r>
      <w:r>
        <w:rPr>
          <w:lang w:val="ru-RU"/>
        </w:rPr>
        <w:t xml:space="preserve"> действующей инвентаризационной комиссией в составе не менее 5 человек. Результаты инвентаризации учреждения передают в централизованную бухгалтерию. </w:t>
      </w:r>
      <w:r>
        <w:rPr>
          <w:b w:val="false"/>
          <w:bCs w:val="false"/>
          <w:lang w:val="ru-RU"/>
        </w:rPr>
        <w:t>Приложение 6.</w:t>
      </w:r>
      <w:r>
        <w:rPr>
          <w:lang w:val="ru-RU"/>
        </w:rPr>
        <w:t xml:space="preserve"> </w:t>
        <w:br/>
        <w:t xml:space="preserve"> Основание: подпункт «в» пункта 14 СГС «Концептуальные основы бухучета и отчетности».</w:t>
      </w:r>
    </w:p>
    <w:p>
      <w:pPr>
        <w:pStyle w:val="BodyText"/>
        <w:jc w:val="both"/>
        <w:rPr>
          <w:color w:val="000000"/>
          <w:sz w:val="24"/>
          <w:szCs w:val="24"/>
          <w:lang w:val="ru-RU"/>
        </w:rPr>
      </w:pPr>
      <w:r>
        <w:rPr>
          <w:b/>
          <w:bCs/>
        </w:rPr>
        <w:t>II</w:t>
      </w:r>
      <w:r>
        <w:rPr>
          <w:b/>
          <w:bCs/>
          <w:lang w:val="ru-RU"/>
        </w:rPr>
        <w:t>. Технология обработки учетной информации</w:t>
      </w:r>
    </w:p>
    <w:p>
      <w:pPr>
        <w:pStyle w:val="BodyText"/>
        <w:jc w:val="both"/>
        <w:rPr>
          <w:lang w:val="ru-RU"/>
        </w:rPr>
      </w:pPr>
      <w:r>
        <w:rPr>
          <w:lang w:val="ru-RU"/>
        </w:rPr>
        <w:t xml:space="preserve">1. Бухгалтерский учет ведется в электронном виде с применением </w:t>
      </w:r>
      <w:bookmarkStart w:id="0" w:name="__DdeLink__640_131167604"/>
      <w:r>
        <w:rPr>
          <w:lang w:val="ru-RU"/>
        </w:rPr>
        <w:t>программных продуктов 1С Предприятие для бюджетного учета; Талисман «Заработная плата и тарификация</w:t>
      </w:r>
      <w:bookmarkEnd w:id="0"/>
      <w:r>
        <w:rPr>
          <w:lang w:val="ru-RU"/>
        </w:rPr>
        <w:t>» для учета заработной платы; СУФД для администрирования доходов.</w:t>
        <w:br/>
        <w:t xml:space="preserve"> Основание: пункт 6 Инструкции к Единому плану счетов № 157н.</w:t>
      </w:r>
    </w:p>
    <w:p>
      <w:pPr>
        <w:pStyle w:val="BodyText"/>
        <w:jc w:val="both"/>
        <w:rPr>
          <w:color w:val="000000"/>
          <w:sz w:val="24"/>
          <w:szCs w:val="24"/>
          <w:lang w:val="ru-RU"/>
        </w:rPr>
      </w:pPr>
      <w:r>
        <w:rPr>
          <w:lang w:val="ru-RU"/>
        </w:rPr>
        <w:t>2. С использованием телекоммуникационных каналов связи и электронной подписи бухгалтерия ведет электронный документооборот по следующим направлениям:</w:t>
      </w:r>
    </w:p>
    <w:p>
      <w:pPr>
        <w:pStyle w:val="BodyText"/>
        <w:jc w:val="both"/>
        <w:rPr>
          <w:color w:val="000000"/>
          <w:sz w:val="24"/>
          <w:szCs w:val="24"/>
          <w:lang w:val="ru-RU"/>
        </w:rPr>
      </w:pPr>
      <w:r>
        <w:rPr>
          <w:lang w:val="ru-RU"/>
        </w:rPr>
        <w:t>-передача отчетности по налогам, сборам и иным обязательным платежам в Инспекцию Федеральной налоговой службы;</w:t>
      </w:r>
    </w:p>
    <w:p>
      <w:pPr>
        <w:pStyle w:val="BodyText"/>
        <w:jc w:val="both"/>
        <w:rPr>
          <w:color w:val="000000"/>
          <w:sz w:val="24"/>
          <w:szCs w:val="24"/>
          <w:lang w:val="ru-RU"/>
        </w:rPr>
      </w:pPr>
      <w:r>
        <w:rPr>
          <w:lang w:val="ru-RU"/>
        </w:rPr>
        <w:t>-передача отчетности в отделение Фонда пенсионного и социального страхования;</w:t>
      </w:r>
    </w:p>
    <w:p>
      <w:pPr>
        <w:pStyle w:val="BodyText"/>
        <w:jc w:val="both"/>
        <w:rPr>
          <w:color w:val="000000"/>
          <w:sz w:val="24"/>
          <w:szCs w:val="24"/>
          <w:lang w:val="ru-RU"/>
        </w:rPr>
      </w:pPr>
      <w:r>
        <w:rPr>
          <w:lang w:val="ru-RU"/>
        </w:rPr>
        <w:t>-система электронного документооборота с территориальным органом Федерального казначейства ( по администратору дохода)</w:t>
      </w:r>
    </w:p>
    <w:p>
      <w:pPr>
        <w:pStyle w:val="BodyText"/>
        <w:jc w:val="both"/>
        <w:rPr>
          <w:color w:val="000000"/>
          <w:sz w:val="24"/>
          <w:szCs w:val="24"/>
          <w:lang w:val="ru-RU"/>
        </w:rPr>
      </w:pPr>
      <w:r>
        <w:rPr>
          <w:lang w:val="ru-RU"/>
        </w:rPr>
        <w:t>В целях обеспечения сохранности электронных данных бухгалтерского учета и отчетности:</w:t>
      </w:r>
    </w:p>
    <w:p>
      <w:pPr>
        <w:pStyle w:val="BodyText"/>
        <w:numPr>
          <w:ilvl w:val="0"/>
          <w:numId w:val="2"/>
        </w:numPr>
        <w:jc w:val="both"/>
        <w:rPr>
          <w:lang w:val="ru-RU"/>
        </w:rPr>
      </w:pPr>
      <w:r>
        <w:rPr>
          <w:lang w:val="ru-RU"/>
        </w:rPr>
        <w:t>на сервере ежедневно производится сохранение резервных копий базы программных продуктов:</w:t>
      </w:r>
    </w:p>
    <w:p>
      <w:pPr>
        <w:pStyle w:val="BodyText"/>
        <w:ind w:hanging="0" w:left="360"/>
        <w:jc w:val="both"/>
        <w:rPr>
          <w:lang w:val="ru-RU"/>
        </w:rPr>
      </w:pPr>
      <w:r>
        <w:rPr>
          <w:lang w:val="ru-RU"/>
        </w:rPr>
        <w:t xml:space="preserve"> </w:t>
      </w:r>
      <w:r>
        <w:rPr>
          <w:lang w:val="ru-RU"/>
        </w:rPr>
        <w:t>1С Предприятие; Талисман «Заработная плата и тарификация.</w:t>
      </w:r>
    </w:p>
    <w:p>
      <w:pPr>
        <w:pStyle w:val="BodyText"/>
        <w:numPr>
          <w:ilvl w:val="0"/>
          <w:numId w:val="2"/>
        </w:numPr>
        <w:jc w:val="both"/>
        <w:rPr>
          <w:lang w:val="ru-RU"/>
        </w:rPr>
      </w:pPr>
      <w:r>
        <w:rPr>
          <w:lang w:val="ru-RU"/>
        </w:rPr>
        <w:t xml:space="preserve">по итогам отчетного года, после сдачи отчетности, производится запись копии базы данных на внешний носитель – </w:t>
      </w:r>
      <w:r>
        <w:rPr/>
        <w:t>CD</w:t>
      </w:r>
      <w:r>
        <w:rPr>
          <w:lang w:val="ru-RU"/>
        </w:rPr>
        <w:t>-диск, который хранится в сейфе главного бухгалтера централизованной бухгалтерии;</w:t>
      </w:r>
    </w:p>
    <w:p>
      <w:pPr>
        <w:pStyle w:val="BodyText"/>
        <w:numPr>
          <w:ilvl w:val="0"/>
          <w:numId w:val="2"/>
        </w:numPr>
        <w:jc w:val="both"/>
        <w:rPr>
          <w:color w:val="000000"/>
          <w:sz w:val="24"/>
          <w:szCs w:val="24"/>
          <w:lang w:val="ru-RU"/>
        </w:rPr>
      </w:pPr>
      <w:r>
        <w:rPr>
          <w:lang w:val="ru-RU"/>
        </w:rPr>
        <w:t>по итогам каждого календарного месяца бухгалтерские регистры, сформированные в электронном виде, распечатываются на бумажный носитель и подшиваются в отдельные папки для каждого учреждения в хронологическом порядке.</w:t>
      </w:r>
    </w:p>
    <w:p>
      <w:pPr>
        <w:pStyle w:val="BodyText"/>
        <w:jc w:val="both"/>
        <w:rPr>
          <w:color w:val="000000"/>
          <w:sz w:val="24"/>
          <w:szCs w:val="24"/>
          <w:lang w:val="ru-RU"/>
        </w:rPr>
      </w:pPr>
      <w:r>
        <w:rPr>
          <w:lang w:val="ru-RU"/>
        </w:rPr>
        <w:t>Основание: пункт 19 Инструкции к Единому плану счетов № 157н, пункт 33 СГС «Концептуальные основы бухучета и отчетности».</w:t>
      </w:r>
    </w:p>
    <w:p>
      <w:pPr>
        <w:pStyle w:val="BodyText"/>
        <w:jc w:val="both"/>
        <w:rPr>
          <w:lang w:val="ru-RU"/>
        </w:rPr>
      </w:pPr>
      <w:r>
        <w:rPr>
          <w:lang w:val="ru-RU"/>
        </w:rPr>
        <w:t>3. Хранение предоставленных (сформированных) первичных учетных документов обеспечивает централизованная бухгалтерия в соответствии с правилами организации  архивного дела в Р.Ф</w:t>
      </w:r>
    </w:p>
    <w:p>
      <w:pPr>
        <w:pStyle w:val="BodyText"/>
        <w:jc w:val="both"/>
        <w:rPr>
          <w:color w:val="000000"/>
          <w:sz w:val="24"/>
          <w:szCs w:val="24"/>
          <w:lang w:val="ru-RU"/>
        </w:rPr>
      </w:pPr>
      <w:r>
        <w:rPr>
          <w:b/>
          <w:bCs/>
        </w:rPr>
        <w:t>III</w:t>
      </w:r>
      <w:r>
        <w:rPr>
          <w:b/>
          <w:bCs/>
          <w:lang w:val="ru-RU"/>
        </w:rPr>
        <w:t>. Правила документооборота</w:t>
      </w:r>
    </w:p>
    <w:p>
      <w:pPr>
        <w:pStyle w:val="BodyText"/>
        <w:jc w:val="both"/>
        <w:rPr>
          <w:color w:val="FF0000"/>
          <w:sz w:val="24"/>
          <w:szCs w:val="24"/>
          <w:lang w:val="ru-RU"/>
        </w:rPr>
      </w:pPr>
      <w:r>
        <w:rPr>
          <w:lang w:val="ru-RU"/>
        </w:rPr>
        <w:t xml:space="preserve">1. К учету принимаются документы о приемке, универсальный передаточный документ или счет-фактура от контрагентов (поставщиков, исполнителей, подрядчиков), оформленные в электронном виде и подписанные ЭЦП в ЕИС «Закупки». Порядок и сроки передачи первичных учетных документов для отражения в бухгалтерском учете установлены в </w:t>
      </w:r>
      <w:r>
        <w:rPr>
          <w:rFonts w:eastAsia="Times New Roman" w:cs="Times New Roman"/>
          <w:color w:val="00000A"/>
          <w:kern w:val="0"/>
          <w:sz w:val="22"/>
          <w:szCs w:val="22"/>
          <w:lang w:val="ru-RU" w:eastAsia="en-US" w:bidi="ar-SA"/>
        </w:rPr>
        <w:t>г</w:t>
      </w:r>
      <w:r>
        <w:rPr>
          <w:lang w:val="ru-RU"/>
        </w:rPr>
        <w:t>рафике</w:t>
      </w:r>
      <w:r>
        <w:rPr/>
        <w:t> </w:t>
      </w:r>
      <w:r>
        <w:rPr>
          <w:lang w:val="ru-RU"/>
        </w:rPr>
        <w:t xml:space="preserve">документооборота утверждены </w:t>
      </w:r>
      <w:r>
        <w:rPr>
          <w:b w:val="false"/>
          <w:bCs w:val="false"/>
          <w:lang w:val="ru-RU"/>
        </w:rPr>
        <w:t>в</w:t>
      </w:r>
      <w:r>
        <w:rPr>
          <w:b w:val="false"/>
          <w:bCs w:val="false"/>
        </w:rPr>
        <w:t> </w:t>
      </w:r>
      <w:r>
        <w:rPr>
          <w:rFonts w:eastAsia="Times New Roman" w:cs="Times New Roman"/>
          <w:b w:val="false"/>
          <w:bCs w:val="false"/>
          <w:color w:val="00000A"/>
          <w:kern w:val="0"/>
          <w:sz w:val="22"/>
          <w:szCs w:val="22"/>
          <w:lang w:val="ru-RU" w:eastAsia="en-US" w:bidi="ar-SA"/>
        </w:rPr>
        <w:t>П</w:t>
      </w:r>
      <w:r>
        <w:rPr>
          <w:b w:val="false"/>
          <w:bCs w:val="false"/>
          <w:lang w:val="ru-RU"/>
        </w:rPr>
        <w:t xml:space="preserve">риложении 3 </w:t>
      </w:r>
      <w:r>
        <w:rPr>
          <w:lang w:val="ru-RU"/>
        </w:rPr>
        <w:t xml:space="preserve">к настоящему приказу. </w:t>
      </w:r>
    </w:p>
    <w:p>
      <w:pPr>
        <w:pStyle w:val="BodyText"/>
        <w:jc w:val="both"/>
        <w:rPr>
          <w:lang w:val="ru-RU"/>
        </w:rPr>
      </w:pPr>
      <w:r>
        <w:rPr>
          <w:color w:val="000000"/>
          <w:lang w:val="ru-RU"/>
        </w:rPr>
        <w:t>2. Первичные и сводные учетные документы, бухгалтерские регистры составляются в форме электронного документа, подписанного квалифицированной электронной подписью. При</w:t>
      </w:r>
      <w:r>
        <w:rPr>
          <w:color w:val="FF0000"/>
          <w:lang w:val="ru-RU"/>
        </w:rPr>
        <w:t xml:space="preserve"> </w:t>
      </w:r>
      <w:r>
        <w:rPr>
          <w:lang w:val="ru-RU"/>
        </w:rPr>
        <w:t>отсутствии возможности составить документ, регистр в электронном виде</w:t>
      </w:r>
      <w:r>
        <w:rPr/>
        <w:t> </w:t>
      </w:r>
      <w:r>
        <w:rPr>
          <w:lang w:val="ru-RU"/>
        </w:rPr>
        <w:t>он может быть составлен на бумажном носителе, заверен собственноручной подписью  руководителя (уполномоченного лица) и передан в централизованную бухгалтерию.</w:t>
      </w:r>
    </w:p>
    <w:p>
      <w:pPr>
        <w:pStyle w:val="BodyText"/>
        <w:jc w:val="both"/>
        <w:rPr>
          <w:color w:val="000000"/>
          <w:sz w:val="24"/>
          <w:szCs w:val="24"/>
          <w:lang w:val="ru-RU"/>
        </w:rPr>
      </w:pPr>
      <w:r>
        <w:rPr>
          <w:lang w:val="ru-RU"/>
        </w:rPr>
        <w:t>Основание: часть 5 статьи 9 Закона от 06.12.2011 № 402-ФЗ, пункт 11 Инструкции к Единому плану счетов № 157н, пункт 32 СГС «Концептуальные основы бухучета и отчетности», Методические указания, утвержденные приказом Минфина от 30.03.2015 № 52н, статья 2 Закона от 06.04.2011 № 63-ФЗ.</w:t>
      </w:r>
    </w:p>
    <w:p>
      <w:pPr>
        <w:pStyle w:val="BodyText"/>
        <w:jc w:val="both"/>
        <w:rPr>
          <w:lang w:val="ru-RU"/>
        </w:rPr>
      </w:pPr>
      <w:r>
        <w:rPr>
          <w:lang w:val="ru-RU"/>
        </w:rPr>
        <w:t xml:space="preserve">3. </w:t>
      </w:r>
      <w:r>
        <w:rPr>
          <w:color w:val="000000"/>
          <w:lang w:val="ru-RU"/>
        </w:rPr>
        <w:t>При</w:t>
      </w:r>
      <w:r>
        <w:rPr>
          <w:color w:val="000000"/>
        </w:rPr>
        <w:t> </w:t>
      </w:r>
      <w:r>
        <w:rPr>
          <w:color w:val="000000"/>
          <w:lang w:val="ru-RU"/>
        </w:rPr>
        <w:t xml:space="preserve">необходимости изготовления бумажных копий электронных документов и регистров бухгалтерского учета, </w:t>
      </w:r>
      <w:r>
        <w:rPr>
          <w:color w:val="000000"/>
        </w:rPr>
        <w:t> </w:t>
      </w:r>
      <w:r>
        <w:rPr>
          <w:color w:val="000000"/>
          <w:lang w:val="ru-RU"/>
        </w:rPr>
        <w:t>бумажные копии заверяются штампом, который проставляется автоматически при распечатке документа: «Документ подписан электронной подписью в системе электронного документооборота, с указанием сведений о сертификате электронной подписи – кому выдан и срок</w:t>
      </w:r>
      <w:r>
        <w:rPr>
          <w:lang w:val="ru-RU"/>
        </w:rPr>
        <w:t xml:space="preserve"> действия. Дополнительно сотрудник </w:t>
      </w:r>
      <w:r>
        <w:rPr>
          <w:rFonts w:eastAsia="Times New Roman" w:cs="Times New Roman"/>
          <w:color w:val="00000A"/>
          <w:kern w:val="0"/>
          <w:sz w:val="22"/>
          <w:szCs w:val="22"/>
          <w:lang w:val="ru-RU" w:eastAsia="en-US" w:bidi="ar-SA"/>
        </w:rPr>
        <w:t>ц</w:t>
      </w:r>
      <w:r>
        <w:rPr>
          <w:lang w:val="ru-RU"/>
        </w:rPr>
        <w:t>ентрализованной бухгалтерии, ответственный за обработку документа, ведение регистра, ставит свою подпись.</w:t>
        <w:br/>
        <w:t xml:space="preserve"> Основание: пункт 32 СГС «Концептуальные основы бухучета и отчетности».</w:t>
      </w:r>
    </w:p>
    <w:p>
      <w:pPr>
        <w:pStyle w:val="BodyText"/>
        <w:jc w:val="both"/>
        <w:rPr>
          <w:lang w:val="ru-RU"/>
        </w:rPr>
      </w:pPr>
      <w:r>
        <w:rPr>
          <w:lang w:val="ru-RU"/>
        </w:rPr>
        <w:t>4. Формирование электронных</w:t>
      </w:r>
      <w:r>
        <w:rPr/>
        <w:t> </w:t>
      </w:r>
      <w:r>
        <w:rPr>
          <w:lang w:val="ru-RU"/>
        </w:rPr>
        <w:t>регистров бухучета осуществляется в следующем порядке:</w:t>
        <w:br/>
        <w:t xml:space="preserve"> – 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 периодичность формирования регистров бухгалтерского учета на бумажном носителях. </w:t>
      </w:r>
      <w:r>
        <w:rPr>
          <w:b w:val="false"/>
          <w:bCs w:val="false"/>
          <w:color w:val="000000"/>
          <w:lang w:val="ru-RU"/>
        </w:rPr>
        <w:t>Приложение 7</w:t>
      </w:r>
      <w:r>
        <w:rPr>
          <w:b/>
          <w:lang w:val="ru-RU"/>
        </w:rPr>
        <w:br/>
      </w:r>
      <w:r>
        <w:rPr>
          <w:lang w:val="ru-RU"/>
        </w:rPr>
        <w:t xml:space="preserve"> – инвентарная карточка учета нефинансовых активов оформляется при принятии объекта к учету, по мере внесения изменений (данных о переоценке, модернизации, реконструкции, консервации и пр.) и при выбытии. При отсутствии указанных событий – ежегодно, на последний рабочий день года, со сведениями о начисленной амортизации;</w:t>
      </w:r>
    </w:p>
    <w:p>
      <w:pPr>
        <w:pStyle w:val="BodyText"/>
        <w:jc w:val="both"/>
        <w:rPr>
          <w:lang w:val="ru-RU"/>
        </w:rPr>
      </w:pPr>
      <w:r>
        <w:rPr>
          <w:lang w:val="ru-RU"/>
        </w:rPr>
        <w:t xml:space="preserve">– </w:t>
      </w:r>
      <w:r>
        <w:rPr>
          <w:lang w:val="ru-RU"/>
        </w:rPr>
        <w:t>инвентарная карточка группового учета нефинансовых активов оформляется при принятии объектов к учету, по мере внесения изменений (данных о переоценке, модернизации, реконструкции, консервации и</w:t>
      </w:r>
    </w:p>
    <w:p>
      <w:pPr>
        <w:pStyle w:val="BodyText"/>
        <w:jc w:val="both"/>
        <w:rPr>
          <w:lang w:val="ru-RU"/>
        </w:rPr>
      </w:pPr>
      <w:r>
        <w:rPr>
          <w:lang w:val="ru-RU"/>
        </w:rPr>
        <w:t xml:space="preserve"> </w:t>
      </w:r>
      <w:r>
        <w:rPr>
          <w:lang w:val="ru-RU"/>
        </w:rPr>
        <w:t>пр.) и при выбытии;</w:t>
      </w:r>
    </w:p>
    <w:p>
      <w:pPr>
        <w:pStyle w:val="BodyText"/>
        <w:jc w:val="both"/>
        <w:rPr>
          <w:lang w:val="ru-RU"/>
        </w:rPr>
      </w:pPr>
      <w:r>
        <w:rPr>
          <w:lang w:val="ru-RU"/>
        </w:rPr>
        <w:t xml:space="preserve">– </w:t>
      </w:r>
      <w:r>
        <w:rPr>
          <w:lang w:val="ru-RU"/>
        </w:rPr>
        <w:t>опись инвентарных карточек по учету нефинансовых активов, инвентарный список основных средств, реестр карточек заполняются ежегодно, в последний день года;</w:t>
        <w:br/>
        <w:t xml:space="preserve"> – книга учета бланков строгой отчетности, книга аналитического учета депонированной зарплаты заполняются ежемесячно, в последний день месяца;</w:t>
      </w:r>
    </w:p>
    <w:p>
      <w:pPr>
        <w:pStyle w:val="BodyText"/>
        <w:jc w:val="both"/>
        <w:rPr>
          <w:lang w:val="ru-RU"/>
        </w:rPr>
      </w:pPr>
      <w:r>
        <w:rPr>
          <w:lang w:val="ru-RU"/>
        </w:rPr>
        <w:t xml:space="preserve">– </w:t>
      </w:r>
      <w:r>
        <w:rPr>
          <w:lang w:val="ru-RU"/>
        </w:rPr>
        <w:t>журналы операций, главная книга заполняются ежемесячно;</w:t>
        <w:br/>
        <w:t xml:space="preserve"> – другие регистры, не указанные выше, заполняются по мере необходимости, если иное не установлено законодательством РФ.</w:t>
        <w:br/>
        <w:t xml:space="preserve"> Основание: пункты 11, 167 Инструкции к Единому плану счетов № 157н, Методические указания, утвержденные приказом Минфина от 30.03.2015 № 52н.</w:t>
      </w:r>
    </w:p>
    <w:p>
      <w:pPr>
        <w:pStyle w:val="BodyText"/>
        <w:jc w:val="both"/>
        <w:rPr>
          <w:lang w:val="ru-RU"/>
        </w:rPr>
      </w:pPr>
      <w:r>
        <w:rPr>
          <w:lang w:val="ru-RU"/>
        </w:rPr>
        <w:t>5. Журнал операций расчетов по оплате труда, денежному довольствию и стипендиям (ф. 0504071) ведется раздельно по кодам финансового обеспечения деятельности учреждений:</w:t>
      </w:r>
    </w:p>
    <w:p>
      <w:pPr>
        <w:pStyle w:val="BodyText"/>
        <w:numPr>
          <w:ilvl w:val="0"/>
          <w:numId w:val="3"/>
        </w:numPr>
        <w:jc w:val="both"/>
        <w:rPr>
          <w:color w:val="000000"/>
          <w:sz w:val="24"/>
          <w:szCs w:val="24"/>
          <w:lang w:val="ru-RU"/>
        </w:rPr>
      </w:pPr>
      <w:r>
        <w:rPr>
          <w:lang w:val="ru-RU"/>
        </w:rPr>
        <w:t>КБК Х.302.11.000 «Расчеты по заработной плате» и КБК Х.302.13.000 «Расчеты по начислениям на выплаты по оплате труда»;</w:t>
      </w:r>
    </w:p>
    <w:p>
      <w:pPr>
        <w:pStyle w:val="BodyText"/>
        <w:numPr>
          <w:ilvl w:val="0"/>
          <w:numId w:val="3"/>
        </w:numPr>
        <w:jc w:val="both"/>
        <w:rPr>
          <w:color w:val="000000"/>
          <w:sz w:val="24"/>
          <w:szCs w:val="24"/>
          <w:lang w:val="ru-RU"/>
        </w:rPr>
      </w:pPr>
      <w:r>
        <w:rPr>
          <w:lang w:val="ru-RU"/>
        </w:rPr>
        <w:t>КБК Х.302.12.000 «Расчеты по прочим несоциальным выплатам персоналу в денежной форме» и КБК Х.302.14.000 «Расчеты по прочим несоциальным выплатам персоналу в натуральной форме»;</w:t>
      </w:r>
    </w:p>
    <w:p>
      <w:pPr>
        <w:pStyle w:val="BodyText"/>
        <w:numPr>
          <w:ilvl w:val="0"/>
          <w:numId w:val="3"/>
        </w:numPr>
        <w:jc w:val="both"/>
        <w:rPr>
          <w:color w:val="000000"/>
          <w:sz w:val="24"/>
          <w:szCs w:val="24"/>
          <w:lang w:val="ru-RU"/>
        </w:rPr>
      </w:pPr>
      <w:r>
        <w:rPr>
          <w:lang w:val="ru-RU"/>
        </w:rPr>
        <w:t>КБК Х.302.66.000 «Расчеты по социальным пособиям и компенсациям персоналу в денежной форме» и КБК Х.302.67.000 «Расчеты по социальным компенсациям персоналу в натуральной форме»;</w:t>
      </w:r>
    </w:p>
    <w:p>
      <w:pPr>
        <w:pStyle w:val="BodyText"/>
        <w:numPr>
          <w:ilvl w:val="0"/>
          <w:numId w:val="3"/>
        </w:numPr>
        <w:jc w:val="both"/>
        <w:rPr>
          <w:color w:val="000000"/>
          <w:sz w:val="24"/>
          <w:szCs w:val="24"/>
          <w:lang w:val="ru-RU"/>
        </w:rPr>
      </w:pPr>
      <w:r>
        <w:rPr>
          <w:lang w:val="ru-RU"/>
        </w:rPr>
        <w:t>КБК Х.302.96.000 «Расчеты по иным выплатам текущего характера физическим лицам».</w:t>
      </w:r>
    </w:p>
    <w:p>
      <w:pPr>
        <w:pStyle w:val="BodyText"/>
        <w:jc w:val="both"/>
        <w:rPr>
          <w:color w:val="000000"/>
          <w:sz w:val="24"/>
          <w:szCs w:val="24"/>
          <w:lang w:val="ru-RU"/>
        </w:rPr>
      </w:pPr>
      <w:r>
        <w:rPr>
          <w:lang w:val="ru-RU"/>
        </w:rPr>
        <w:t>Основание: пункт 257 Инструкции к Единому плану счетов № 157н.</w:t>
      </w:r>
    </w:p>
    <w:p>
      <w:pPr>
        <w:pStyle w:val="BodyText"/>
        <w:jc w:val="both"/>
        <w:rPr>
          <w:color w:val="000000"/>
          <w:sz w:val="24"/>
          <w:szCs w:val="24"/>
          <w:lang w:val="ru-RU"/>
        </w:rPr>
      </w:pPr>
      <w:r>
        <w:rPr>
          <w:lang w:val="ru-RU"/>
        </w:rPr>
        <w:t>6. Формирование журналов операций</w:t>
      </w:r>
      <w:r>
        <w:rPr/>
        <w:t> </w:t>
      </w:r>
      <w:r>
        <w:rPr>
          <w:lang w:val="ru-RU"/>
        </w:rPr>
        <w:t>осуществляется в форме документа (регистра) ежемесячно, в соответствии со следующей нумерацией:</w:t>
      </w:r>
    </w:p>
    <w:p>
      <w:pPr>
        <w:pStyle w:val="BodyText"/>
        <w:jc w:val="center"/>
        <w:rPr/>
      </w:pPr>
      <w:r>
        <w:rPr/>
        <w:t>Номера журналов операций</w:t>
      </w:r>
      <w:r>
        <w:rPr>
          <w:lang w:val="ru-RU"/>
        </w:rPr>
        <w:t>:</w:t>
      </w:r>
    </w:p>
    <w:tbl>
      <w:tblPr>
        <w:tblW w:w="10605" w:type="dxa"/>
        <w:jc w:val="left"/>
        <w:tblInd w:w="-16" w:type="dxa"/>
        <w:tblLayout w:type="fixed"/>
        <w:tblCellMar>
          <w:top w:w="75" w:type="dxa"/>
          <w:left w:w="7" w:type="dxa"/>
          <w:bottom w:w="75" w:type="dxa"/>
          <w:right w:w="60" w:type="dxa"/>
        </w:tblCellMar>
        <w:tblLook w:val="00a0"/>
      </w:tblPr>
      <w:tblGrid>
        <w:gridCol w:w="5302"/>
        <w:gridCol w:w="5302"/>
      </w:tblGrid>
      <w:tr>
        <w:trPr/>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Номер</w:t>
              <w:tab/>
              <w:t>журнала</w:t>
            </w:r>
          </w:p>
        </w:tc>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Наименование журнала</w:t>
            </w:r>
          </w:p>
        </w:tc>
      </w:tr>
      <w:tr>
        <w:trPr/>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1</w:t>
            </w:r>
          </w:p>
        </w:tc>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lang w:val="ru-RU"/>
              </w:rPr>
            </w:pPr>
            <w:r>
              <w:rPr>
                <w:lang w:val="ru-RU"/>
              </w:rPr>
              <w:t xml:space="preserve">Журнал операций по счету «Касса» </w:t>
            </w:r>
            <w:r>
              <w:rPr>
                <w:lang w:val="ru-RU"/>
              </w:rPr>
              <w:t>(фондовая) (ф.0504071)</w:t>
            </w:r>
          </w:p>
        </w:tc>
      </w:tr>
      <w:tr>
        <w:trPr/>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2</w:t>
            </w:r>
          </w:p>
        </w:tc>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lang w:val="ru-RU"/>
              </w:rPr>
            </w:pPr>
            <w:r>
              <w:rPr>
                <w:lang w:val="ru-RU"/>
              </w:rPr>
              <w:t xml:space="preserve">Журнал операций с безналичными денежными средствами </w:t>
            </w:r>
            <w:r>
              <w:rPr>
                <w:lang w:val="ru-RU"/>
              </w:rPr>
              <w:t>(ф.0504071)</w:t>
            </w:r>
          </w:p>
        </w:tc>
      </w:tr>
      <w:tr>
        <w:trPr/>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3</w:t>
            </w:r>
          </w:p>
        </w:tc>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lang w:val="ru-RU"/>
              </w:rPr>
            </w:pPr>
            <w:r>
              <w:rPr>
                <w:lang w:val="ru-RU"/>
              </w:rPr>
              <w:t xml:space="preserve">Журнал операций расчетов с подотчетными лицами </w:t>
            </w:r>
            <w:r>
              <w:rPr>
                <w:lang w:val="ru-RU"/>
              </w:rPr>
              <w:t>(ф.0504071)</w:t>
            </w:r>
          </w:p>
        </w:tc>
      </w:tr>
      <w:tr>
        <w:trPr/>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4</w:t>
            </w:r>
          </w:p>
        </w:tc>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lang w:val="ru-RU"/>
              </w:rPr>
            </w:pPr>
            <w:r>
              <w:rPr>
                <w:lang w:val="ru-RU"/>
              </w:rPr>
              <w:t xml:space="preserve">Журнал операций расчетов с поставщиками и подрядчиками </w:t>
            </w:r>
            <w:r>
              <w:rPr>
                <w:lang w:val="ru-RU"/>
              </w:rPr>
              <w:t>(ф.0504071)</w:t>
            </w:r>
          </w:p>
        </w:tc>
      </w:tr>
      <w:tr>
        <w:trPr/>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5</w:t>
            </w:r>
          </w:p>
        </w:tc>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lang w:val="ru-RU"/>
              </w:rPr>
            </w:pPr>
            <w:r>
              <w:rPr>
                <w:lang w:val="ru-RU"/>
              </w:rPr>
              <w:t>Журнал операций расчетов с дебиторами по доходам</w:t>
            </w:r>
            <w:r>
              <w:rPr>
                <w:lang w:val="ru-RU"/>
              </w:rPr>
              <w:t>(ф.0504071)</w:t>
            </w:r>
            <w:r>
              <w:rPr>
                <w:lang w:val="ru-RU"/>
              </w:rPr>
              <w:t xml:space="preserve"> </w:t>
            </w:r>
          </w:p>
        </w:tc>
      </w:tr>
      <w:tr>
        <w:trPr/>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6</w:t>
            </w:r>
          </w:p>
        </w:tc>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lang w:val="ru-RU"/>
              </w:rPr>
            </w:pPr>
            <w:r>
              <w:rPr>
                <w:lang w:val="ru-RU"/>
              </w:rPr>
              <w:t xml:space="preserve">Журнал операций расчетов по оплате труда, денежному довольствию и стипендиям </w:t>
            </w:r>
            <w:r>
              <w:rPr>
                <w:lang w:val="ru-RU"/>
              </w:rPr>
              <w:t>(ф.0504071)</w:t>
            </w:r>
          </w:p>
        </w:tc>
      </w:tr>
      <w:tr>
        <w:trPr/>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7</w:t>
            </w:r>
          </w:p>
        </w:tc>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lang w:val="ru-RU"/>
              </w:rPr>
            </w:pPr>
            <w:r>
              <w:rPr>
                <w:lang w:val="ru-RU"/>
              </w:rPr>
              <w:t xml:space="preserve">Журнал операций по выбытию и перемещению нефинансовых активов </w:t>
            </w:r>
            <w:r>
              <w:rPr>
                <w:lang w:val="ru-RU"/>
              </w:rPr>
              <w:t>(ф.0504071)</w:t>
            </w:r>
          </w:p>
        </w:tc>
      </w:tr>
      <w:tr>
        <w:trPr/>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8</w:t>
            </w:r>
          </w:p>
        </w:tc>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 xml:space="preserve">Журнал по прочим операциям </w:t>
            </w:r>
            <w:r>
              <w:rPr>
                <w:lang w:val="ru-RU"/>
              </w:rPr>
              <w:t>(ф.0504071)</w:t>
            </w:r>
          </w:p>
        </w:tc>
      </w:tr>
      <w:tr>
        <w:trPr/>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8-</w:t>
            </w:r>
            <w:r>
              <w:rPr>
                <w:lang w:val="ru-RU"/>
              </w:rPr>
              <w:t>ош</w:t>
            </w:r>
          </w:p>
        </w:tc>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lang w:val="ru-RU"/>
              </w:rPr>
            </w:pPr>
            <w:r>
              <w:rPr>
                <w:lang w:val="ru-RU"/>
              </w:rPr>
              <w:t xml:space="preserve">Журнал операций по исправлению ошибок прошлых лет </w:t>
            </w:r>
            <w:r>
              <w:rPr>
                <w:lang w:val="ru-RU"/>
              </w:rPr>
              <w:t>(ф.0504071)</w:t>
            </w:r>
          </w:p>
        </w:tc>
      </w:tr>
      <w:tr>
        <w:trPr/>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9</w:t>
            </w:r>
          </w:p>
        </w:tc>
        <w:tc>
          <w:tcPr>
            <w:tcW w:w="53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 xml:space="preserve">Журнал </w:t>
            </w:r>
            <w:r>
              <w:rPr>
                <w:lang w:val="ru-RU"/>
              </w:rPr>
              <w:t>по санкционированию (ф.0504071)</w:t>
            </w:r>
          </w:p>
        </w:tc>
      </w:tr>
      <w:tr>
        <w:trPr/>
        <w:tc>
          <w:tcPr>
            <w:tcW w:w="5302" w:type="dxa"/>
            <w:tcBorders>
              <w:left w:val="single" w:sz="6" w:space="0" w:color="000001"/>
              <w:bottom w:val="single" w:sz="6" w:space="0" w:color="000001"/>
              <w:right w:val="single" w:sz="6" w:space="0" w:color="000001"/>
            </w:tcBorders>
          </w:tcPr>
          <w:p>
            <w:pPr>
              <w:pStyle w:val="BodyText"/>
              <w:widowControl w:val="false"/>
              <w:spacing w:before="0" w:after="140"/>
              <w:jc w:val="center"/>
              <w:rPr/>
            </w:pPr>
            <w:r>
              <w:rPr/>
              <w:t>10</w:t>
            </w:r>
          </w:p>
        </w:tc>
        <w:tc>
          <w:tcPr>
            <w:tcW w:w="5302" w:type="dxa"/>
            <w:tcBorders>
              <w:left w:val="single" w:sz="6" w:space="0" w:color="000001"/>
              <w:bottom w:val="single" w:sz="6" w:space="0" w:color="000001"/>
              <w:right w:val="single" w:sz="6" w:space="0" w:color="000001"/>
            </w:tcBorders>
          </w:tcPr>
          <w:p>
            <w:pPr>
              <w:pStyle w:val="BodyText"/>
              <w:widowControl w:val="false"/>
              <w:spacing w:before="0" w:after="140"/>
              <w:jc w:val="center"/>
              <w:rPr>
                <w:lang w:val="ru-RU"/>
              </w:rPr>
            </w:pPr>
            <w:r>
              <w:rPr>
                <w:lang w:val="ru-RU"/>
              </w:rPr>
              <w:t>Журнал операций межотчетного периода (ф.0504071)</w:t>
            </w:r>
          </w:p>
        </w:tc>
      </w:tr>
      <w:tr>
        <w:trPr/>
        <w:tc>
          <w:tcPr>
            <w:tcW w:w="5302" w:type="dxa"/>
            <w:tcBorders>
              <w:left w:val="single" w:sz="6" w:space="0" w:color="000001"/>
              <w:bottom w:val="single" w:sz="6" w:space="0" w:color="000001"/>
              <w:right w:val="single" w:sz="6" w:space="0" w:color="000001"/>
            </w:tcBorders>
          </w:tcPr>
          <w:p>
            <w:pPr>
              <w:pStyle w:val="BodyText"/>
              <w:widowControl w:val="false"/>
              <w:spacing w:before="0" w:after="140"/>
              <w:jc w:val="center"/>
              <w:rPr/>
            </w:pPr>
            <w:r>
              <w:rPr/>
              <w:t>11</w:t>
            </w:r>
          </w:p>
        </w:tc>
        <w:tc>
          <w:tcPr>
            <w:tcW w:w="5302" w:type="dxa"/>
            <w:tcBorders>
              <w:left w:val="single" w:sz="6" w:space="0" w:color="000001"/>
              <w:bottom w:val="single" w:sz="6" w:space="0" w:color="000001"/>
              <w:right w:val="single" w:sz="6" w:space="0" w:color="000001"/>
            </w:tcBorders>
          </w:tcPr>
          <w:p>
            <w:pPr>
              <w:pStyle w:val="BodyText"/>
              <w:widowControl w:val="false"/>
              <w:spacing w:before="0" w:after="140"/>
              <w:jc w:val="center"/>
              <w:rPr>
                <w:lang w:val="ru-RU"/>
              </w:rPr>
            </w:pPr>
            <w:r>
              <w:rPr>
                <w:lang w:val="ru-RU"/>
              </w:rPr>
              <w:t>Журнал операций по заболансовому счету (ф.0509213)</w:t>
            </w:r>
          </w:p>
        </w:tc>
      </w:tr>
    </w:tbl>
    <w:p>
      <w:pPr>
        <w:pStyle w:val="BodyText"/>
        <w:jc w:val="both"/>
        <w:rPr>
          <w:lang w:val="ru-RU"/>
        </w:rPr>
      </w:pPr>
      <w:r>
        <w:rPr/>
      </w:r>
    </w:p>
    <w:p>
      <w:pPr>
        <w:pStyle w:val="BodyText"/>
        <w:jc w:val="both"/>
        <w:rPr>
          <w:lang w:val="ru-RU"/>
        </w:rPr>
      </w:pPr>
      <w:r>
        <w:rPr>
          <w:lang w:val="ru-RU"/>
        </w:rPr>
        <w:t>Журналы операций ведутся раздельно - по кодам финансового обеспечения. Журналы формируются ежемесячно, в последний день месяца. К журналам прилагаются первичные документы, согласно П</w:t>
      </w:r>
      <w:r>
        <w:rPr>
          <w:b w:val="false"/>
          <w:bCs w:val="false"/>
          <w:lang w:val="ru-RU"/>
        </w:rPr>
        <w:t xml:space="preserve">риложению  4. </w:t>
      </w:r>
      <w:r>
        <w:rPr>
          <w:b w:val="false"/>
          <w:bCs w:val="false"/>
          <w:lang w:val="ru-RU"/>
        </w:rPr>
        <w:t>Журналы операций подписываются главный бухгалтером и бухгалтером, составивший журнал операций.</w:t>
      </w:r>
      <w:r>
        <w:rPr>
          <w:b w:val="false"/>
          <w:bCs w:val="false"/>
          <w:lang w:val="ru-RU"/>
        </w:rPr>
        <w:t xml:space="preserve"> </w:t>
      </w:r>
      <w:r>
        <w:rPr>
          <w:b/>
          <w:lang w:val="ru-RU"/>
        </w:rPr>
        <w:t xml:space="preserve">   </w:t>
      </w:r>
      <w:r>
        <w:rPr>
          <w:lang w:val="ru-RU"/>
        </w:rPr>
        <w:t xml:space="preserve"> Главная книга (ф. 0504072) формируется отдельно по каждому учреждению.</w:t>
      </w:r>
    </w:p>
    <w:p>
      <w:pPr>
        <w:pStyle w:val="BodyText"/>
        <w:jc w:val="both"/>
        <w:rPr>
          <w:color w:val="000000"/>
          <w:sz w:val="24"/>
          <w:szCs w:val="24"/>
          <w:lang w:val="ru-RU"/>
        </w:rPr>
      </w:pPr>
      <w:r>
        <w:rPr>
          <w:lang w:val="ru-RU"/>
        </w:rPr>
        <w:t xml:space="preserve">7.  </w:t>
      </w:r>
      <w:r>
        <w:rPr>
          <w:lang w:val="ru-RU"/>
        </w:rPr>
        <w:t>В каждом первичном документе при создании указывается дата создания. Порядковый номер документа указывается при необходимости- если нумерация предусмотрена формой документа. Если  дата документа составления первичного документа или дата его подписания отличается от даты (периода) совершения факта хозяйственной жизни, в составе обязательных реквизитов такого документа отражается дата или период совершения факта хозяйственной жизни.</w:t>
      </w:r>
    </w:p>
    <w:p>
      <w:pPr>
        <w:pStyle w:val="BodyText"/>
        <w:jc w:val="both"/>
        <w:rPr>
          <w:color w:val="000000"/>
          <w:sz w:val="24"/>
          <w:szCs w:val="24"/>
          <w:lang w:val="ru-RU"/>
        </w:rPr>
      </w:pPr>
      <w:r>
        <w:rPr>
          <w:lang w:val="ru-RU"/>
        </w:rPr>
        <w:t>Основание: пункт 7 приложения №2 к СГС «Учетная политика, оценочные значения и ошибки».</w:t>
      </w:r>
    </w:p>
    <w:p>
      <w:pPr>
        <w:pStyle w:val="BodyText"/>
        <w:jc w:val="both"/>
        <w:rPr>
          <w:color w:val="000000"/>
          <w:sz w:val="24"/>
          <w:szCs w:val="24"/>
          <w:lang w:val="ru-RU"/>
        </w:rPr>
      </w:pPr>
      <w:r>
        <w:rPr>
          <w:color w:val="000000"/>
          <w:sz w:val="24"/>
          <w:szCs w:val="24"/>
          <w:lang w:val="ru-RU"/>
        </w:rPr>
        <w:t xml:space="preserve">Первичные учетные документы, регистры бухгалтерского учета, по которым не предусмотрены обязательные для применения унифицированные формы, утверждаются руководителем организации отдельным приказом </w:t>
      </w:r>
      <w:r>
        <w:rPr>
          <w:rFonts w:eastAsia="Times New Roman" w:cs="Times New Roman"/>
          <w:b w:val="false"/>
          <w:bCs w:val="false"/>
          <w:color w:val="000000"/>
          <w:kern w:val="0"/>
          <w:sz w:val="22"/>
          <w:szCs w:val="22"/>
          <w:lang w:val="ru-RU" w:eastAsia="en-US" w:bidi="ar-SA"/>
        </w:rPr>
        <w:t>П</w:t>
      </w:r>
      <w:r>
        <w:rPr>
          <w:b w:val="false"/>
          <w:bCs w:val="false"/>
          <w:color w:val="000000"/>
          <w:sz w:val="24"/>
          <w:szCs w:val="24"/>
          <w:lang w:val="ru-RU"/>
        </w:rPr>
        <w:t>риложение № 5.</w:t>
      </w:r>
      <w:r>
        <w:rPr>
          <w:color w:val="000000"/>
          <w:sz w:val="24"/>
          <w:szCs w:val="24"/>
          <w:lang w:val="ru-RU"/>
        </w:rPr>
        <w:br/>
        <w:t xml:space="preserve"> Основание: пункты 25–26 СГС «Концептуальные основы бухучета и отчетности», подпункт «г» пункта 9 СГС «Учетная политика, оценочные значения и ошибки».</w:t>
      </w:r>
    </w:p>
    <w:p>
      <w:pPr>
        <w:pStyle w:val="BodyText"/>
        <w:jc w:val="both"/>
        <w:rPr>
          <w:color w:val="000000"/>
          <w:sz w:val="24"/>
          <w:szCs w:val="24"/>
          <w:lang w:val="ru-RU"/>
        </w:rPr>
      </w:pPr>
      <w:r>
        <w:rPr>
          <w:lang w:val="ru-RU"/>
        </w:rPr>
        <w:t>8. При</w:t>
      </w:r>
      <w:r>
        <w:rPr/>
        <w:t> </w:t>
      </w:r>
      <w:r>
        <w:rPr>
          <w:lang w:val="ru-RU"/>
        </w:rPr>
        <w:t>поступлении документов на иностранном языке, построчный перевод таких документов на русский язык осуществляется сотрудником учреждения, который назначен ответственным за перевод документов приказом руководителя учреждения, либо лицом, предоставившим документ, –</w:t>
      </w:r>
      <w:r>
        <w:rPr/>
        <w:t> </w:t>
      </w:r>
      <w:r>
        <w:rPr>
          <w:lang w:val="ru-RU"/>
        </w:rPr>
        <w:t>под его ответственность за корректность перевода. Переводы составляются на отдельном документе, заверяются подписью сотрудника, составившего перевод, и прикладываются к первичным документам. В случае невозможности перевода документа привлекается профессиональный переводчик. Перевод денежных (финансовых) документов заверяется нотариусом.</w:t>
      </w:r>
    </w:p>
    <w:p>
      <w:pPr>
        <w:pStyle w:val="BodyText"/>
        <w:jc w:val="both"/>
        <w:rPr>
          <w:color w:val="000000"/>
          <w:sz w:val="24"/>
          <w:szCs w:val="24"/>
          <w:lang w:val="ru-RU"/>
        </w:rPr>
      </w:pPr>
      <w:r>
        <w:rPr>
          <w:lang w:val="ru-RU"/>
        </w:rPr>
        <w:t>Если документы на иностранном языке составлены по типовой форме (идентичны по количеству граф, их названию, расшифровке работ и т. д. и отличаются только суммой), то в отношении их постоянных показателей достаточно однократного перевода на русский язык. Впоследствии переводить нужно только изменяющиеся показатели данного первичного документа.</w:t>
      </w:r>
    </w:p>
    <w:p>
      <w:pPr>
        <w:pStyle w:val="BodyText"/>
        <w:jc w:val="both"/>
        <w:rPr>
          <w:color w:val="000000"/>
          <w:sz w:val="24"/>
          <w:szCs w:val="24"/>
          <w:lang w:val="ru-RU"/>
        </w:rPr>
      </w:pPr>
      <w:r>
        <w:rPr>
          <w:lang w:val="ru-RU"/>
        </w:rPr>
        <w:t>Основание: пункт 31 СГС «Концептуальные основы бухучета и отчетности».</w:t>
      </w:r>
    </w:p>
    <w:p>
      <w:pPr>
        <w:pStyle w:val="BodyText"/>
        <w:jc w:val="both"/>
        <w:rPr>
          <w:color w:val="000000"/>
        </w:rPr>
      </w:pPr>
      <w:r>
        <w:rPr>
          <w:color w:val="000000"/>
          <w:lang w:val="ru-RU"/>
        </w:rPr>
        <w:t>9. Первичные учетные документы, выставленные учреждению поставщиком (подрядчиком, исполнителем) в последний рабочий день отчетного периода, но поступившие от учреждения в месяце, следующем за отчетным:</w:t>
      </w:r>
    </w:p>
    <w:p>
      <w:pPr>
        <w:pStyle w:val="BodyText"/>
        <w:numPr>
          <w:ilvl w:val="0"/>
          <w:numId w:val="4"/>
        </w:numPr>
        <w:jc w:val="both"/>
        <w:rPr>
          <w:color w:val="000000"/>
        </w:rPr>
      </w:pPr>
      <w:r>
        <w:rPr>
          <w:color w:val="000000"/>
          <w:lang w:val="ru-RU"/>
        </w:rPr>
        <w:t>за пять и более рабочих дней до даты представления отчетности, отражаются предыдущим месяцем;</w:t>
      </w:r>
    </w:p>
    <w:p>
      <w:pPr>
        <w:pStyle w:val="BodyText"/>
        <w:numPr>
          <w:ilvl w:val="0"/>
          <w:numId w:val="4"/>
        </w:numPr>
        <w:jc w:val="both"/>
        <w:rPr>
          <w:color w:val="000000"/>
        </w:rPr>
      </w:pPr>
      <w:r>
        <w:rPr>
          <w:color w:val="000000"/>
          <w:lang w:val="ru-RU"/>
        </w:rPr>
        <w:t>менее пяти рабочих дней до даты представления отчетности, отражаются месяцем их поступления.</w:t>
      </w:r>
    </w:p>
    <w:p>
      <w:pPr>
        <w:pStyle w:val="BodyText"/>
        <w:jc w:val="both"/>
        <w:rPr>
          <w:color w:val="000000"/>
        </w:rPr>
      </w:pPr>
      <w:r>
        <w:rPr>
          <w:color w:val="000000"/>
          <w:lang w:val="ru-RU"/>
        </w:rPr>
        <w:t>Первичные учетные документы, выставленные учреждению поставщиком (подрядчиком, исполнителем) в последний рабочий день отчетного года, но поступившие от учреждения в году, следующем за отчетным:</w:t>
      </w:r>
    </w:p>
    <w:p>
      <w:pPr>
        <w:pStyle w:val="BodyText"/>
        <w:numPr>
          <w:ilvl w:val="0"/>
          <w:numId w:val="5"/>
        </w:numPr>
        <w:jc w:val="both"/>
        <w:rPr>
          <w:color w:val="000000"/>
        </w:rPr>
      </w:pPr>
      <w:r>
        <w:rPr>
          <w:color w:val="000000"/>
          <w:lang w:val="ru-RU"/>
        </w:rPr>
        <w:t>за 10 и более рабочих дней до даты представления отчетности, отражаются предыдущим месяцем;</w:t>
      </w:r>
    </w:p>
    <w:p>
      <w:pPr>
        <w:pStyle w:val="BodyText"/>
        <w:numPr>
          <w:ilvl w:val="0"/>
          <w:numId w:val="5"/>
        </w:numPr>
        <w:jc w:val="both"/>
        <w:rPr>
          <w:color w:val="000000"/>
          <w:sz w:val="24"/>
          <w:szCs w:val="24"/>
          <w:lang w:val="ru-RU"/>
        </w:rPr>
      </w:pPr>
      <w:r>
        <w:rPr>
          <w:color w:val="000000"/>
          <w:lang w:val="ru-RU"/>
        </w:rPr>
        <w:t xml:space="preserve">менее 10 рабочих дней до даты представления </w:t>
      </w:r>
      <w:r>
        <w:rPr>
          <w:lang w:val="ru-RU"/>
        </w:rPr>
        <w:t>отчетности, отражаются месяцем их поступления.</w:t>
      </w:r>
    </w:p>
    <w:p>
      <w:pPr>
        <w:pStyle w:val="BodyText"/>
        <w:jc w:val="both"/>
        <w:rPr>
          <w:color w:val="000000"/>
          <w:sz w:val="24"/>
          <w:szCs w:val="24"/>
          <w:lang w:val="ru-RU"/>
        </w:rPr>
      </w:pPr>
      <w:r>
        <w:rPr>
          <w:lang w:val="ru-RU"/>
        </w:rPr>
        <w:t>10. В деятельности учреждений</w:t>
      </w:r>
      <w:r>
        <w:rPr/>
        <w:t> </w:t>
      </w:r>
      <w:r>
        <w:rPr>
          <w:lang w:val="ru-RU"/>
        </w:rPr>
        <w:t>используются следующие бланки строгой отчетности:</w:t>
      </w:r>
    </w:p>
    <w:p>
      <w:pPr>
        <w:pStyle w:val="BodyText"/>
        <w:jc w:val="both"/>
        <w:rPr>
          <w:lang w:val="ru-RU"/>
        </w:rPr>
      </w:pPr>
      <w:r>
        <w:rPr>
          <w:lang w:val="ru-RU"/>
        </w:rPr>
        <w:t xml:space="preserve">– </w:t>
      </w:r>
      <w:r>
        <w:rPr>
          <w:lang w:val="ru-RU"/>
        </w:rPr>
        <w:t>аттестаты, приложения к аттестатам.</w:t>
      </w:r>
    </w:p>
    <w:p>
      <w:pPr>
        <w:pStyle w:val="BodyText"/>
        <w:jc w:val="both"/>
        <w:rPr>
          <w:color w:val="000000"/>
        </w:rPr>
      </w:pPr>
      <w:r>
        <w:rPr>
          <w:color w:val="000000"/>
          <w:lang w:val="ru-RU"/>
        </w:rPr>
        <w:t xml:space="preserve"> </w:t>
      </w:r>
      <w:r>
        <w:rPr>
          <w:color w:val="000000"/>
          <w:lang w:val="ru-RU"/>
        </w:rPr>
        <w:t>Учет бланков ведется по стоимости их приобретения.</w:t>
      </w:r>
      <w:r>
        <w:rPr>
          <w:color w:val="000000"/>
        </w:rPr>
        <w:t> </w:t>
      </w:r>
      <w:r>
        <w:rPr>
          <w:color w:val="000000"/>
          <w:lang w:val="ru-RU"/>
        </w:rPr>
        <w:t>Перечень должностей сотрудников, ответственных за учет, хранение и выдачу бланков строгой отчетности, учреждения устанавливают самостоятельно.</w:t>
      </w:r>
    </w:p>
    <w:p>
      <w:pPr>
        <w:pStyle w:val="BodyText"/>
        <w:jc w:val="both"/>
        <w:rPr>
          <w:color w:val="000000"/>
          <w:sz w:val="24"/>
          <w:szCs w:val="24"/>
          <w:lang w:val="ru-RU"/>
        </w:rPr>
      </w:pPr>
      <w:r>
        <w:rPr>
          <w:lang w:val="ru-RU"/>
        </w:rPr>
        <w:t>Основание: пункт 337 Инструкции к Единому плану счетов № 157н.</w:t>
      </w:r>
    </w:p>
    <w:p>
      <w:pPr>
        <w:pStyle w:val="BodyText"/>
        <w:jc w:val="both"/>
        <w:rPr>
          <w:color w:val="000000"/>
          <w:sz w:val="24"/>
          <w:szCs w:val="24"/>
          <w:lang w:val="ru-RU"/>
        </w:rPr>
      </w:pPr>
      <w:r>
        <w:rPr>
          <w:lang w:val="ru-RU"/>
        </w:rPr>
        <w:t>11. Особенности применения первичных документов:</w:t>
      </w:r>
    </w:p>
    <w:p>
      <w:pPr>
        <w:pStyle w:val="BodyText"/>
        <w:jc w:val="both"/>
        <w:rPr>
          <w:color w:val="000000"/>
          <w:sz w:val="24"/>
          <w:szCs w:val="24"/>
          <w:lang w:val="ru-RU"/>
        </w:rPr>
      </w:pPr>
      <w:r>
        <w:rPr>
          <w:lang w:val="ru-RU"/>
        </w:rPr>
        <w:t>11.1. При</w:t>
      </w:r>
      <w:r>
        <w:rPr/>
        <w:t> </w:t>
      </w:r>
      <w:r>
        <w:rPr>
          <w:lang w:val="ru-RU"/>
        </w:rPr>
        <w:t>приобретении и реализации основных средств, нематериальных и непроизведенных активов составляется Акт о приеме-передаче объектов нефинансовых активов (ф. 0504101).</w:t>
      </w:r>
    </w:p>
    <w:p>
      <w:pPr>
        <w:pStyle w:val="BodyText"/>
        <w:jc w:val="both"/>
        <w:rPr>
          <w:color w:val="000000"/>
          <w:sz w:val="24"/>
          <w:szCs w:val="24"/>
          <w:lang w:val="ru-RU"/>
        </w:rPr>
      </w:pPr>
      <w:r>
        <w:rPr>
          <w:lang w:val="ru-RU"/>
        </w:rPr>
        <w:t>11.2. При ремонте нового оборудования, неисправность которого была выявлена при монтаже, составляется Акт о выявленных дефектах оборудования по форме № ОС-16 (ф. 0306008).</w:t>
      </w:r>
    </w:p>
    <w:p>
      <w:pPr>
        <w:pStyle w:val="BodyText"/>
        <w:jc w:val="both"/>
        <w:rPr>
          <w:color w:val="000000"/>
        </w:rPr>
      </w:pPr>
      <w:r>
        <w:rPr>
          <w:color w:val="000000"/>
          <w:lang w:val="ru-RU"/>
        </w:rPr>
        <w:t>11.3. В Табеле</w:t>
      </w:r>
      <w:r>
        <w:rPr>
          <w:color w:val="000000"/>
        </w:rPr>
        <w:t> </w:t>
      </w:r>
      <w:r>
        <w:rPr>
          <w:color w:val="000000"/>
          <w:lang w:val="ru-RU"/>
        </w:rPr>
        <w:t>учета использования рабочего времени (ф. 0504421) ведется учет фактических затрат рабочего времени  по каждому сотруднику в верхней половине строки указываются часы затрат рабочего времени, а в нижней – условные коды обозначений (буквы).</w:t>
      </w:r>
    </w:p>
    <w:p>
      <w:pPr>
        <w:pStyle w:val="BodyText"/>
        <w:jc w:val="both"/>
        <w:rPr>
          <w:color w:val="000000"/>
          <w:sz w:val="24"/>
          <w:szCs w:val="24"/>
          <w:lang w:val="ru-RU"/>
        </w:rPr>
      </w:pPr>
      <w:r>
        <w:rPr>
          <w:lang w:val="ru-RU"/>
        </w:rPr>
        <w:t>Табель учета использования рабочего времени (ф. 0504421) дополнен условными</w:t>
        <w:br/>
        <w:t xml:space="preserve"> обозначениями.</w:t>
      </w:r>
    </w:p>
    <w:tbl>
      <w:tblPr>
        <w:tblW w:w="8805" w:type="dxa"/>
        <w:jc w:val="left"/>
        <w:tblInd w:w="-16" w:type="dxa"/>
        <w:tblLayout w:type="fixed"/>
        <w:tblCellMar>
          <w:top w:w="75" w:type="dxa"/>
          <w:left w:w="7" w:type="dxa"/>
          <w:bottom w:w="75" w:type="dxa"/>
          <w:right w:w="60" w:type="dxa"/>
        </w:tblCellMar>
        <w:tblLook w:val="00a0"/>
      </w:tblPr>
      <w:tblGrid>
        <w:gridCol w:w="4402"/>
        <w:gridCol w:w="4402"/>
      </w:tblGrid>
      <w:tr>
        <w:trPr/>
        <w:tc>
          <w:tcPr>
            <w:tcW w:w="44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Наименование показателя</w:t>
            </w:r>
          </w:p>
        </w:tc>
        <w:tc>
          <w:tcPr>
            <w:tcW w:w="44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Код</w:t>
            </w:r>
          </w:p>
        </w:tc>
      </w:tr>
      <w:tr>
        <w:trPr/>
        <w:tc>
          <w:tcPr>
            <w:tcW w:w="44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lang w:val="ru-RU"/>
              </w:rPr>
            </w:pPr>
            <w:r>
              <w:rPr>
                <w:lang w:val="ru-RU"/>
              </w:rPr>
              <w:t>Дистанционная явка</w:t>
            </w:r>
          </w:p>
        </w:tc>
        <w:tc>
          <w:tcPr>
            <w:tcW w:w="44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lang w:val="ru-RU"/>
              </w:rPr>
            </w:pPr>
            <w:r>
              <w:rPr>
                <w:lang w:val="ru-RU"/>
              </w:rPr>
              <w:t>ДЯ</w:t>
            </w:r>
          </w:p>
        </w:tc>
      </w:tr>
      <w:tr>
        <w:trPr/>
        <w:tc>
          <w:tcPr>
            <w:tcW w:w="44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Дополнительные выходные дни (оплачиваемые)</w:t>
            </w:r>
          </w:p>
        </w:tc>
        <w:tc>
          <w:tcPr>
            <w:tcW w:w="44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ОВ</w:t>
            </w:r>
          </w:p>
        </w:tc>
      </w:tr>
      <w:tr>
        <w:trPr/>
        <w:tc>
          <w:tcPr>
            <w:tcW w:w="4402" w:type="dxa"/>
            <w:tcBorders>
              <w:top w:val="single" w:sz="6" w:space="0" w:color="000001"/>
              <w:left w:val="single" w:sz="6" w:space="0" w:color="000001"/>
              <w:bottom w:val="single" w:sz="6" w:space="0" w:color="000001"/>
              <w:right w:val="single" w:sz="6" w:space="0" w:color="000001"/>
            </w:tcBorders>
          </w:tcPr>
          <w:p>
            <w:pPr>
              <w:pStyle w:val="BodyText"/>
              <w:widowControl w:val="false"/>
              <w:jc w:val="center"/>
              <w:rPr>
                <w:lang w:val="ru-RU"/>
              </w:rPr>
            </w:pPr>
            <w:r>
              <w:rPr>
                <w:lang w:val="ru-RU"/>
              </w:rPr>
            </w:r>
          </w:p>
          <w:p>
            <w:pPr>
              <w:pStyle w:val="BodyText"/>
              <w:widowControl w:val="false"/>
              <w:spacing w:before="0" w:after="140"/>
              <w:jc w:val="center"/>
              <w:rPr>
                <w:color w:val="000000"/>
                <w:sz w:val="24"/>
                <w:szCs w:val="24"/>
                <w:lang w:val="ru-RU"/>
              </w:rPr>
            </w:pPr>
            <w:r>
              <w:rPr>
                <w:lang w:val="ru-RU"/>
              </w:rPr>
              <w:t>Дополнительный оплачиваемый выходной день для прохождения диспансеризации</w:t>
            </w:r>
          </w:p>
        </w:tc>
        <w:tc>
          <w:tcPr>
            <w:tcW w:w="4402" w:type="dxa"/>
            <w:tcBorders>
              <w:top w:val="single" w:sz="6" w:space="0" w:color="000001"/>
              <w:left w:val="single" w:sz="6" w:space="0" w:color="000001"/>
              <w:bottom w:val="single" w:sz="6" w:space="0" w:color="000001"/>
              <w:right w:val="single" w:sz="6" w:space="0" w:color="000001"/>
            </w:tcBorders>
          </w:tcPr>
          <w:p>
            <w:pPr>
              <w:pStyle w:val="BodyText"/>
              <w:widowControl w:val="false"/>
              <w:spacing w:before="0" w:after="140"/>
              <w:jc w:val="center"/>
              <w:rPr/>
            </w:pPr>
            <w:r>
              <w:rPr/>
              <w:t>Д</w:t>
            </w:r>
          </w:p>
        </w:tc>
      </w:tr>
      <w:tr>
        <w:trPr/>
        <w:tc>
          <w:tcPr>
            <w:tcW w:w="4402" w:type="dxa"/>
            <w:tcBorders>
              <w:left w:val="single" w:sz="6" w:space="0" w:color="000001"/>
              <w:bottom w:val="single" w:sz="6" w:space="0" w:color="000001"/>
              <w:right w:val="single" w:sz="6" w:space="0" w:color="000001"/>
            </w:tcBorders>
          </w:tcPr>
          <w:p>
            <w:pPr>
              <w:pStyle w:val="BodyText"/>
              <w:widowControl w:val="false"/>
              <w:spacing w:before="0" w:after="140"/>
              <w:jc w:val="center"/>
              <w:rPr>
                <w:lang w:val="ru-RU"/>
              </w:rPr>
            </w:pPr>
            <w:r>
              <w:rPr>
                <w:lang w:val="ru-RU"/>
              </w:rPr>
              <w:t>Выходные за вакцинацию с сохранением заработной платы</w:t>
            </w:r>
          </w:p>
        </w:tc>
        <w:tc>
          <w:tcPr>
            <w:tcW w:w="4402" w:type="dxa"/>
            <w:tcBorders>
              <w:left w:val="single" w:sz="6" w:space="0" w:color="000001"/>
              <w:bottom w:val="single" w:sz="6" w:space="0" w:color="000001"/>
              <w:right w:val="single" w:sz="6" w:space="0" w:color="000001"/>
            </w:tcBorders>
          </w:tcPr>
          <w:p>
            <w:pPr>
              <w:pStyle w:val="BodyText"/>
              <w:widowControl w:val="false"/>
              <w:spacing w:before="0" w:after="140"/>
              <w:jc w:val="center"/>
              <w:rPr>
                <w:lang w:val="ru-RU"/>
              </w:rPr>
            </w:pPr>
            <w:r>
              <w:rPr>
                <w:lang w:val="ru-RU"/>
              </w:rPr>
              <w:t>ВВ</w:t>
            </w:r>
          </w:p>
        </w:tc>
      </w:tr>
      <w:tr>
        <w:trPr/>
        <w:tc>
          <w:tcPr>
            <w:tcW w:w="4402" w:type="dxa"/>
            <w:tcBorders>
              <w:left w:val="single" w:sz="6" w:space="0" w:color="000001"/>
              <w:bottom w:val="single" w:sz="6" w:space="0" w:color="000001"/>
              <w:right w:val="single" w:sz="6" w:space="0" w:color="000001"/>
            </w:tcBorders>
          </w:tcPr>
          <w:p>
            <w:pPr>
              <w:pStyle w:val="BodyText"/>
              <w:widowControl w:val="false"/>
              <w:spacing w:before="0" w:after="140"/>
              <w:jc w:val="center"/>
              <w:rPr>
                <w:lang w:val="ru-RU"/>
              </w:rPr>
            </w:pPr>
            <w:r>
              <w:rPr>
                <w:lang w:val="ru-RU"/>
              </w:rPr>
              <w:t>Нерабочий оплачиваемый день</w:t>
            </w:r>
          </w:p>
        </w:tc>
        <w:tc>
          <w:tcPr>
            <w:tcW w:w="4402" w:type="dxa"/>
            <w:tcBorders>
              <w:left w:val="single" w:sz="6" w:space="0" w:color="000001"/>
              <w:bottom w:val="single" w:sz="6" w:space="0" w:color="000001"/>
              <w:right w:val="single" w:sz="6" w:space="0" w:color="000001"/>
            </w:tcBorders>
          </w:tcPr>
          <w:p>
            <w:pPr>
              <w:pStyle w:val="BodyText"/>
              <w:widowControl w:val="false"/>
              <w:spacing w:before="0" w:after="140"/>
              <w:jc w:val="center"/>
              <w:rPr>
                <w:lang w:val="ru-RU"/>
              </w:rPr>
            </w:pPr>
            <w:r>
              <w:rPr>
                <w:lang w:val="ru-RU"/>
              </w:rPr>
              <w:t>НОД</w:t>
            </w:r>
          </w:p>
        </w:tc>
      </w:tr>
    </w:tbl>
    <w:p>
      <w:pPr>
        <w:pStyle w:val="BodyText"/>
        <w:jc w:val="both"/>
        <w:rPr>
          <w:lang w:val="ru-RU"/>
        </w:rPr>
      </w:pPr>
      <w:r>
        <w:rPr>
          <w:lang w:val="ru-RU"/>
        </w:rPr>
        <w:t>Расширено применение буквенного кода «Г» – «Выполнение государственных обязанностей» – для случаев выполнения сотрудниками общественных обязанностей (например, для регистрации дней медицинского освидетельствования перед сдачей крови, дней сдачи крови, дней, когда сотрудник отсутствовал по вызову в военкомат на военные сборы, по вызову в суд,организация и проведение ЕГЭ и другие госорганы в качестве свидетеля и пр.).</w:t>
      </w:r>
    </w:p>
    <w:p>
      <w:pPr>
        <w:pStyle w:val="BodyText"/>
        <w:jc w:val="both"/>
        <w:rPr>
          <w:color w:val="000000"/>
          <w:sz w:val="24"/>
          <w:szCs w:val="24"/>
          <w:lang w:val="ru-RU"/>
        </w:rPr>
      </w:pPr>
      <w:r>
        <w:rPr>
          <w:lang w:val="ru-RU"/>
        </w:rPr>
        <w:t>11.4. Расчеты  с работниками по заработной плате и другим выплатам оформляются  путем формирования электронных списков на выплату заработной платы, подписанных электронно-цифровыми подписями, в соответствии с заключенным договором на данные услуги с банковскими учреждением. Выплата заработной платы производится безналичным переводом на банковские карты сотрудников (вклад «Зарплатный»)</w:t>
      </w:r>
    </w:p>
    <w:p>
      <w:pPr>
        <w:pStyle w:val="BodyText"/>
        <w:jc w:val="both"/>
        <w:rPr>
          <w:color w:val="000000"/>
        </w:rPr>
      </w:pPr>
      <w:r>
        <w:rPr>
          <w:color w:val="000000"/>
          <w:lang w:val="ru-RU"/>
        </w:rPr>
        <w:t>11.5. При временном переводе работников на удаленный режим работы обмен документами, которые оформляются в бумажном виде, разрешается осуществлять по электронной почте посредством скан-копий.</w:t>
      </w:r>
    </w:p>
    <w:p>
      <w:pPr>
        <w:pStyle w:val="BodyText"/>
        <w:jc w:val="both"/>
        <w:rPr>
          <w:color w:val="000000"/>
        </w:rPr>
      </w:pPr>
      <w:r>
        <w:rPr>
          <w:color w:val="000000"/>
          <w:lang w:val="ru-RU"/>
        </w:rPr>
        <w:t>Скан-копия первичного документа изготавливается сотрудником, ответственным за факт хозяйственной жизни, в сроки, которые установлены графиком документооборота. Скан-копия направляется сотруднику, уполномоченному на согласование, в соответствии с графиком документооборота. Согласованием считается возврат электронного письма от получателя к отправителю со скан-копией подписанного документа.</w:t>
      </w:r>
    </w:p>
    <w:p>
      <w:pPr>
        <w:pStyle w:val="BodyText"/>
        <w:jc w:val="both"/>
        <w:rPr>
          <w:color w:val="000000"/>
        </w:rPr>
      </w:pPr>
      <w:r>
        <w:rPr>
          <w:color w:val="000000"/>
          <w:lang w:val="ru-RU"/>
        </w:rPr>
        <w:t>После окончания режима удаленной работы первичные документы, оформленные посредством обмена скан-копий, распечатываются</w:t>
      </w:r>
      <w:r>
        <w:rPr>
          <w:color w:val="000000"/>
        </w:rPr>
        <w:t> </w:t>
      </w:r>
      <w:r>
        <w:rPr>
          <w:color w:val="000000"/>
          <w:lang w:val="ru-RU"/>
        </w:rPr>
        <w:t>на бумажном носителе и подписываются собственноручной подписью ответственных лиц.</w:t>
      </w:r>
    </w:p>
    <w:p>
      <w:pPr>
        <w:pStyle w:val="BodyText"/>
        <w:jc w:val="both"/>
        <w:rPr>
          <w:color w:val="000000"/>
          <w:sz w:val="24"/>
          <w:szCs w:val="24"/>
          <w:lang w:val="ru-RU"/>
        </w:rPr>
      </w:pPr>
      <w:r>
        <w:rPr>
          <w:b/>
          <w:bCs/>
        </w:rPr>
        <w:t>IV</w:t>
      </w:r>
      <w:r>
        <w:rPr>
          <w:b/>
          <w:bCs/>
          <w:lang w:val="ru-RU"/>
        </w:rPr>
        <w:t>. Методика ведения бухгалтерского учета</w:t>
      </w:r>
    </w:p>
    <w:p>
      <w:pPr>
        <w:pStyle w:val="BodyText"/>
        <w:rPr>
          <w:lang w:val="ru-RU"/>
        </w:rPr>
      </w:pPr>
      <w:r>
        <w:rPr>
          <w:lang w:val="ru-RU"/>
        </w:rPr>
        <w:t>1. Для случаев, которые не установлены в федеральных стандартах и других нормативно-правовых актах, регулирующих бухучет, метод определения справедливой стоимости,  выбирает комиссия учреждения по поступлению  и выбытию активов.</w:t>
        <w:br/>
        <w:t xml:space="preserve"> Основание: пункт 54 СГС «Концептуальные основы бухучета и отчетности».</w:t>
      </w:r>
    </w:p>
    <w:p>
      <w:pPr>
        <w:pStyle w:val="BodyText"/>
        <w:rPr>
          <w:lang w:val="ru-RU"/>
        </w:rPr>
      </w:pPr>
      <w:r>
        <w:rPr>
          <w:lang w:val="ru-RU"/>
        </w:rPr>
        <w:t>2. Основные средства</w:t>
      </w:r>
    </w:p>
    <w:p>
      <w:pPr>
        <w:pStyle w:val="BodyText"/>
        <w:rPr>
          <w:b/>
          <w:lang w:val="ru-RU"/>
        </w:rPr>
      </w:pPr>
      <w:r>
        <w:rPr>
          <w:lang w:val="ru-RU"/>
        </w:rPr>
        <w:t>2.1. Принятие к бухгалтерскому учету основных средств осуществляется сотрудниками централизованной бухгалтерией на основании решения комиссии учреждения по поступлению и выбытию активов.</w:t>
      </w:r>
      <w:r>
        <w:rPr>
          <w:color w:val="000000"/>
          <w:lang w:val="ru-RU"/>
        </w:rPr>
        <w:t xml:space="preserve"> </w:t>
      </w:r>
      <w:r>
        <w:rPr>
          <w:b w:val="false"/>
          <w:bCs w:val="false"/>
          <w:color w:val="000000"/>
          <w:lang w:val="ru-RU"/>
        </w:rPr>
        <w:t>Приложение 9.</w:t>
      </w:r>
    </w:p>
    <w:p>
      <w:pPr>
        <w:pStyle w:val="BodyText"/>
        <w:rPr>
          <w:color w:val="FF0000"/>
          <w:sz w:val="24"/>
          <w:szCs w:val="24"/>
          <w:lang w:val="ru-RU"/>
        </w:rPr>
      </w:pPr>
      <w:r>
        <w:rPr>
          <w:lang w:val="ru-RU"/>
        </w:rPr>
        <w:t>2.2. В</w:t>
      </w:r>
      <w:r>
        <w:rPr/>
        <w:t> </w:t>
      </w:r>
      <w:r>
        <w:rPr>
          <w:lang w:val="ru-RU"/>
        </w:rPr>
        <w:t>составе основных средств учитываются ма</w:t>
      </w:r>
      <w:r>
        <w:rPr>
          <w:color w:val="000000"/>
          <w:lang w:val="ru-RU"/>
        </w:rPr>
        <w:t>териальные объекты имущества независимо от их стоимости, со сроком полезного использования более 12 месяцев, а также бесконтактные термометры, диспенсеры для антисептиков, штампы, печати и инвентарь.</w:t>
      </w:r>
    </w:p>
    <w:p>
      <w:pPr>
        <w:pStyle w:val="BodyText"/>
        <w:rPr>
          <w:color w:val="000000"/>
          <w:sz w:val="24"/>
          <w:szCs w:val="24"/>
          <w:lang w:val="ru-RU"/>
        </w:rPr>
      </w:pPr>
      <w:r>
        <w:rPr>
          <w:lang w:val="ru-RU"/>
        </w:rPr>
        <w:t>2.3. В один инвентарный объект, признаваемый комплексом объектов основных средств, объединяются объекты имущества несущественной стоимости, имеющие одинаковые сроки полезного и ожидаемого использования:</w:t>
      </w:r>
    </w:p>
    <w:p>
      <w:pPr>
        <w:pStyle w:val="BodyText"/>
        <w:numPr>
          <w:ilvl w:val="0"/>
          <w:numId w:val="6"/>
        </w:numPr>
        <w:rPr>
          <w:color w:val="000000"/>
          <w:sz w:val="24"/>
          <w:szCs w:val="24"/>
        </w:rPr>
      </w:pPr>
      <w:r>
        <w:rPr/>
        <w:t>объекты библиотечного фонда;</w:t>
      </w:r>
    </w:p>
    <w:p>
      <w:pPr>
        <w:pStyle w:val="BodyText"/>
        <w:numPr>
          <w:ilvl w:val="0"/>
          <w:numId w:val="6"/>
        </w:numPr>
        <w:jc w:val="both"/>
        <w:rPr>
          <w:color w:val="000000"/>
          <w:sz w:val="24"/>
          <w:szCs w:val="24"/>
          <w:lang w:val="ru-RU"/>
        </w:rPr>
      </w:pPr>
      <w:r>
        <w:rPr>
          <w:lang w:val="ru-RU"/>
        </w:rPr>
        <w:t>мебель для обстановки одного помещения: столы, стулья, стеллажи, шкафы, полки;</w:t>
      </w:r>
    </w:p>
    <w:p>
      <w:pPr>
        <w:pStyle w:val="BodyText"/>
        <w:numPr>
          <w:ilvl w:val="0"/>
          <w:numId w:val="6"/>
        </w:numPr>
        <w:jc w:val="both"/>
        <w:rPr>
          <w:color w:val="000000"/>
          <w:sz w:val="24"/>
          <w:szCs w:val="24"/>
          <w:lang w:val="ru-RU"/>
        </w:rPr>
      </w:pPr>
      <w:r>
        <w:rPr>
          <w:lang w:val="ru-RU"/>
        </w:rPr>
        <w:t>компьютерное и периферийное оборудование: системные блоки, мониторы, компьютерные мыши, клавиатуры, принтеры, сканеры, колонки, акустические системы, микрофоны, веб-камеры, устройства захвата видео, внешние ТВ-тюнеры, внешние накопители на жестких дисках;</w:t>
      </w:r>
    </w:p>
    <w:p>
      <w:pPr>
        <w:pStyle w:val="BodyText"/>
        <w:jc w:val="both"/>
        <w:rPr>
          <w:color w:val="000000"/>
          <w:sz w:val="24"/>
          <w:szCs w:val="24"/>
          <w:lang w:val="ru-RU"/>
        </w:rPr>
      </w:pPr>
      <w:r>
        <w:rPr>
          <w:lang w:val="ru-RU"/>
        </w:rPr>
        <w:t>Не считается существенной стоимость до 20 000 руб. за один имущественный объект. Необходимость объединения и конкретный перечень объединяемых объектов определяет комиссия учреждения по поступлению и выбытию активов.</w:t>
        <w:br/>
        <w:t xml:space="preserve"> Основание: пункт 10 СГС «Основные средства».</w:t>
      </w:r>
    </w:p>
    <w:p>
      <w:pPr>
        <w:pStyle w:val="BodyText"/>
        <w:jc w:val="both"/>
        <w:rPr>
          <w:color w:val="000000"/>
          <w:sz w:val="24"/>
          <w:szCs w:val="24"/>
          <w:lang w:val="ru-RU"/>
        </w:rPr>
      </w:pPr>
      <w:r>
        <w:rPr>
          <w:lang w:val="ru-RU"/>
        </w:rPr>
        <w:t xml:space="preserve">2.4. При наличии в документах поставщика информации о стоимости составных частей объекта основных средств, </w:t>
      </w:r>
      <w:r>
        <w:rPr/>
        <w:t> </w:t>
      </w:r>
      <w:r>
        <w:rPr>
          <w:lang w:val="ru-RU"/>
        </w:rPr>
        <w:t>такая информация отражается в Инвентарной карточке учета нефинансовых активов (ф. 0504031).</w:t>
      </w:r>
    </w:p>
    <w:p>
      <w:pPr>
        <w:pStyle w:val="BodyText"/>
        <w:jc w:val="both"/>
        <w:rPr>
          <w:lang w:val="ru-RU"/>
        </w:rPr>
      </w:pPr>
      <w:r>
        <w:rPr>
          <w:lang w:val="ru-RU"/>
        </w:rPr>
        <w:t>2.5. Каждому инвентарному объекту основных средств, в момент принятия к бухгалтерскому</w:t>
      </w:r>
      <w:r>
        <w:rPr/>
        <w:t> </w:t>
      </w:r>
      <w:r>
        <w:rPr>
          <w:lang w:val="ru-RU"/>
        </w:rPr>
        <w:t>учету, присваивается уникальный</w:t>
      </w:r>
      <w:r>
        <w:rPr/>
        <w:t> </w:t>
      </w:r>
      <w:r>
        <w:rPr>
          <w:lang w:val="ru-RU"/>
        </w:rPr>
        <w:t>инвентарный номер, который состоит из 12</w:t>
      </w:r>
      <w:r>
        <w:rPr/>
        <w:t> </w:t>
      </w:r>
      <w:r>
        <w:rPr>
          <w:lang w:val="ru-RU"/>
        </w:rPr>
        <w:t>знаков:</w:t>
      </w:r>
    </w:p>
    <w:p>
      <w:pPr>
        <w:pStyle w:val="BodyText"/>
        <w:rPr>
          <w:lang w:val="ru-RU"/>
        </w:rPr>
      </w:pPr>
      <w:r>
        <w:rPr>
          <w:lang w:val="ru-RU"/>
        </w:rPr>
        <w:t>1- й знак  - код вида финансового обеспечения;</w:t>
        <w:br/>
        <w:t xml:space="preserve"> 2-4 й знаки — коды синтетического счета;</w:t>
      </w:r>
    </w:p>
    <w:p>
      <w:pPr>
        <w:pStyle w:val="BodyText"/>
        <w:jc w:val="both"/>
        <w:rPr>
          <w:lang w:val="ru-RU"/>
        </w:rPr>
      </w:pPr>
      <w:r>
        <w:rPr>
          <w:lang w:val="ru-RU"/>
        </w:rPr>
        <w:t>5-6 й знаки -коды аналитического счета;</w:t>
      </w:r>
    </w:p>
    <w:p>
      <w:pPr>
        <w:pStyle w:val="BodyText"/>
        <w:jc w:val="both"/>
        <w:rPr>
          <w:lang w:val="ru-RU"/>
        </w:rPr>
      </w:pPr>
      <w:bookmarkStart w:id="1" w:name="__DdeLink__815_815744068"/>
      <w:bookmarkEnd w:id="1"/>
      <w:r>
        <w:rPr>
          <w:lang w:val="ru-RU"/>
        </w:rPr>
        <w:t>7-12 й знаки- порядковый номер объекта в группе (000001-999999)</w:t>
      </w:r>
    </w:p>
    <w:p>
      <w:pPr>
        <w:pStyle w:val="BodyText"/>
        <w:jc w:val="both"/>
        <w:rPr>
          <w:color w:val="000000"/>
          <w:sz w:val="24"/>
          <w:szCs w:val="24"/>
          <w:lang w:val="ru-RU"/>
        </w:rPr>
      </w:pPr>
      <w:r>
        <w:rPr>
          <w:lang w:val="ru-RU"/>
        </w:rPr>
        <w:t>Основание: пункт 9 СГС «Основные средства», пункт 46 Инструкции к Единому плану счетов № 157н.</w:t>
      </w:r>
    </w:p>
    <w:p>
      <w:pPr>
        <w:pStyle w:val="BodyText"/>
        <w:jc w:val="both"/>
        <w:rPr>
          <w:color w:val="000000"/>
          <w:sz w:val="24"/>
          <w:szCs w:val="24"/>
          <w:lang w:val="ru-RU"/>
        </w:rPr>
      </w:pPr>
      <w:r>
        <w:rPr>
          <w:lang w:val="ru-RU"/>
        </w:rPr>
        <w:t>Инвентарные номера объектов основных средств, принятых к бухгалтерскому учету до передачи централизуемых полномочий учреждений, после миграции базы данных не изменяются.</w:t>
      </w:r>
    </w:p>
    <w:p>
      <w:pPr>
        <w:pStyle w:val="BodyText"/>
        <w:jc w:val="both"/>
        <w:rPr>
          <w:color w:val="000000"/>
          <w:sz w:val="24"/>
          <w:szCs w:val="24"/>
          <w:lang w:val="ru-RU"/>
        </w:rPr>
      </w:pPr>
      <w:r>
        <w:rPr>
          <w:lang w:val="ru-RU"/>
        </w:rPr>
        <w:t>2.6.</w:t>
      </w:r>
      <w:r>
        <w:rPr/>
        <w:t> </w:t>
      </w:r>
      <w:r>
        <w:rPr>
          <w:lang w:val="ru-RU"/>
        </w:rPr>
        <w:t>Присвоенный объекту инвентарный номер обозначается ответственным сотрудником учреждения путем нанесения номера на инвентарный объект краской или водостойким маркером. В случае если объект является сложным (комплексом конструктивно-сочлененных предметов), инвентарный номер обозначается на каждом составляющем элементе тем же способом, что и на сложном объекте.</w:t>
      </w:r>
    </w:p>
    <w:p>
      <w:pPr>
        <w:pStyle w:val="BodyText"/>
        <w:jc w:val="both"/>
        <w:rPr>
          <w:color w:val="000000"/>
          <w:sz w:val="24"/>
          <w:szCs w:val="24"/>
        </w:rPr>
      </w:pPr>
      <w:r>
        <w:rPr>
          <w:lang w:val="ru-RU"/>
        </w:rPr>
        <w:t>2.7. Затраты по замене отдельных составных частей</w:t>
      </w:r>
      <w:r>
        <w:rPr/>
        <w:t> </w:t>
      </w:r>
      <w:r>
        <w:rPr>
          <w:lang w:val="ru-RU"/>
        </w:rPr>
        <w:t>комплекса</w:t>
      </w:r>
      <w:r>
        <w:rPr/>
        <w:t> </w:t>
      </w:r>
      <w:r>
        <w:rPr>
          <w:lang w:val="ru-RU"/>
        </w:rPr>
        <w:t>конструктивно-сочлененных предметов,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w:t>
      </w:r>
      <w:r>
        <w:rPr/>
        <w:t> </w:t>
      </w:r>
      <w:r>
        <w:rPr>
          <w:lang w:val="ru-RU"/>
        </w:rPr>
        <w:t xml:space="preserve">заменяемых (выбываемых) составных частей. </w:t>
      </w:r>
      <w:r>
        <w:rPr/>
        <w:t>Данное правило применяется к следующим группам основных средств:</w:t>
      </w:r>
    </w:p>
    <w:p>
      <w:pPr>
        <w:pStyle w:val="BodyText"/>
        <w:numPr>
          <w:ilvl w:val="0"/>
          <w:numId w:val="7"/>
        </w:numPr>
        <w:jc w:val="both"/>
        <w:rPr>
          <w:color w:val="000000"/>
          <w:sz w:val="24"/>
          <w:szCs w:val="24"/>
        </w:rPr>
      </w:pPr>
      <w:r>
        <w:rPr/>
        <w:t>машины и оборудование;</w:t>
      </w:r>
    </w:p>
    <w:p>
      <w:pPr>
        <w:pStyle w:val="BodyText"/>
        <w:numPr>
          <w:ilvl w:val="0"/>
          <w:numId w:val="7"/>
        </w:numPr>
        <w:jc w:val="both"/>
        <w:rPr>
          <w:color w:val="000000"/>
          <w:sz w:val="24"/>
          <w:szCs w:val="24"/>
        </w:rPr>
      </w:pPr>
      <w:r>
        <w:rPr/>
        <w:t>транспортные средства;</w:t>
      </w:r>
    </w:p>
    <w:p>
      <w:pPr>
        <w:pStyle w:val="BodyText"/>
        <w:numPr>
          <w:ilvl w:val="0"/>
          <w:numId w:val="7"/>
        </w:numPr>
        <w:jc w:val="both"/>
        <w:rPr>
          <w:color w:val="000000"/>
          <w:sz w:val="24"/>
          <w:szCs w:val="24"/>
        </w:rPr>
      </w:pPr>
      <w:r>
        <w:rPr/>
        <w:t>инвентарь производственный и хозяйственный;</w:t>
      </w:r>
    </w:p>
    <w:p>
      <w:pPr>
        <w:pStyle w:val="BodyText"/>
        <w:numPr>
          <w:ilvl w:val="0"/>
          <w:numId w:val="7"/>
        </w:numPr>
        <w:jc w:val="both"/>
        <w:rPr>
          <w:color w:val="000000"/>
          <w:sz w:val="24"/>
          <w:szCs w:val="24"/>
        </w:rPr>
      </w:pPr>
      <w:r>
        <w:rPr/>
        <w:t>многолетние насаждения;</w:t>
      </w:r>
    </w:p>
    <w:p>
      <w:pPr>
        <w:pStyle w:val="BodyText"/>
        <w:jc w:val="both"/>
        <w:rPr>
          <w:color w:val="000000"/>
          <w:sz w:val="24"/>
          <w:szCs w:val="24"/>
          <w:lang w:val="ru-RU"/>
        </w:rPr>
      </w:pPr>
      <w:r>
        <w:rPr>
          <w:lang w:val="ru-RU"/>
        </w:rPr>
        <w:t>Основание: пункт 27 СГС «Основные средства».</w:t>
      </w:r>
    </w:p>
    <w:p>
      <w:pPr>
        <w:pStyle w:val="BodyText"/>
        <w:jc w:val="both"/>
        <w:rPr>
          <w:color w:val="000000"/>
          <w:sz w:val="24"/>
          <w:szCs w:val="24"/>
        </w:rPr>
      </w:pPr>
      <w:r>
        <w:rPr>
          <w:lang w:val="ru-RU"/>
        </w:rPr>
        <w:t xml:space="preserve">2.8. В случае частичной ликвидации или разукомплектации объекта основного средства, если стоимость ликвидируемых (разукомплектованных) частей не выделена в документах поставщика, стоимость таких частей определяется пропорционально следующему показателю </w:t>
      </w:r>
      <w:r>
        <w:rPr/>
        <w:t>(в порядке убывания важности):</w:t>
      </w:r>
    </w:p>
    <w:p>
      <w:pPr>
        <w:pStyle w:val="BodyText"/>
        <w:numPr>
          <w:ilvl w:val="0"/>
          <w:numId w:val="8"/>
        </w:numPr>
        <w:jc w:val="both"/>
        <w:rPr>
          <w:color w:val="000000"/>
          <w:sz w:val="24"/>
          <w:szCs w:val="24"/>
        </w:rPr>
      </w:pPr>
      <w:r>
        <w:rPr>
          <w:lang w:val="ru-RU"/>
        </w:rPr>
        <w:t>площади</w:t>
      </w:r>
      <w:r>
        <w:rPr/>
        <w:t>;</w:t>
      </w:r>
    </w:p>
    <w:p>
      <w:pPr>
        <w:pStyle w:val="BodyText"/>
        <w:numPr>
          <w:ilvl w:val="0"/>
          <w:numId w:val="8"/>
        </w:numPr>
        <w:jc w:val="both"/>
        <w:rPr>
          <w:color w:val="000000"/>
          <w:sz w:val="24"/>
          <w:szCs w:val="24"/>
        </w:rPr>
      </w:pPr>
      <w:r>
        <w:rPr/>
        <w:t>объему;</w:t>
      </w:r>
    </w:p>
    <w:p>
      <w:pPr>
        <w:pStyle w:val="BodyText"/>
        <w:numPr>
          <w:ilvl w:val="0"/>
          <w:numId w:val="8"/>
        </w:numPr>
        <w:jc w:val="both"/>
        <w:rPr>
          <w:color w:val="000000"/>
          <w:sz w:val="24"/>
          <w:szCs w:val="24"/>
          <w:lang w:val="ru-RU"/>
        </w:rPr>
      </w:pPr>
      <w:r>
        <w:rPr>
          <w:lang w:val="ru-RU"/>
        </w:rPr>
        <w:t>иному показателю, установленному комиссией по поступлению и выбытию активов.</w:t>
      </w:r>
    </w:p>
    <w:p>
      <w:pPr>
        <w:pStyle w:val="BodyText"/>
        <w:jc w:val="both"/>
        <w:rPr>
          <w:color w:val="000000"/>
          <w:sz w:val="24"/>
          <w:szCs w:val="24"/>
          <w:lang w:val="ru-RU"/>
        </w:rPr>
      </w:pPr>
      <w:r>
        <w:rPr>
          <w:lang w:val="ru-RU"/>
        </w:rPr>
        <w:t>2.9.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(модернизаций, дооборудований, реконструкций, в том числе с элементами реставраций, технических перевооружений) формируют объем капитальных вложений с дальнейшим признанием в стоимости объекта основных средств. Одновременно, учтенная ранее в стоимости объекта</w:t>
      </w:r>
      <w:r>
        <w:rPr/>
        <w:t> </w:t>
      </w:r>
      <w:r>
        <w:rPr>
          <w:lang w:val="ru-RU"/>
        </w:rPr>
        <w:t>сумма затрат на проведение аналогичного мероприятия списывается</w:t>
      </w:r>
      <w:r>
        <w:rPr/>
        <w:t> </w:t>
      </w:r>
      <w:r>
        <w:rPr>
          <w:lang w:val="ru-RU"/>
        </w:rPr>
        <w:t>в расходы текущего периода с учетом накопленной амортизации. Данное правило применяется к следующим группам основных средств:</w:t>
      </w:r>
    </w:p>
    <w:p>
      <w:pPr>
        <w:pStyle w:val="BodyText"/>
        <w:numPr>
          <w:ilvl w:val="0"/>
          <w:numId w:val="9"/>
        </w:numPr>
        <w:jc w:val="both"/>
        <w:rPr>
          <w:color w:val="000000"/>
          <w:sz w:val="24"/>
          <w:szCs w:val="24"/>
          <w:lang w:val="ru-RU"/>
        </w:rPr>
      </w:pPr>
      <w:r>
        <w:rPr>
          <w:lang w:val="ru-RU"/>
        </w:rPr>
        <w:t>нежилые помещения (здания и сооружения);</w:t>
      </w:r>
    </w:p>
    <w:p>
      <w:pPr>
        <w:pStyle w:val="BodyText"/>
        <w:numPr>
          <w:ilvl w:val="0"/>
          <w:numId w:val="9"/>
        </w:numPr>
        <w:jc w:val="both"/>
        <w:rPr>
          <w:color w:val="000000"/>
          <w:sz w:val="24"/>
          <w:szCs w:val="24"/>
        </w:rPr>
      </w:pPr>
      <w:r>
        <w:rPr/>
        <w:t>машины и оборудование;</w:t>
      </w:r>
    </w:p>
    <w:p>
      <w:pPr>
        <w:pStyle w:val="BodyText"/>
        <w:numPr>
          <w:ilvl w:val="0"/>
          <w:numId w:val="9"/>
        </w:numPr>
        <w:jc w:val="both"/>
        <w:rPr>
          <w:color w:val="000000"/>
          <w:sz w:val="24"/>
          <w:szCs w:val="24"/>
        </w:rPr>
      </w:pPr>
      <w:r>
        <w:rPr/>
        <w:t>транспортные средства;</w:t>
      </w:r>
    </w:p>
    <w:p>
      <w:pPr>
        <w:pStyle w:val="BodyText"/>
        <w:jc w:val="both"/>
        <w:rPr>
          <w:color w:val="000000"/>
          <w:sz w:val="24"/>
          <w:szCs w:val="24"/>
          <w:lang w:val="ru-RU"/>
        </w:rPr>
      </w:pPr>
      <w:r>
        <w:rPr>
          <w:lang w:val="ru-RU"/>
        </w:rPr>
        <w:t>Основание: пункт 28 СГС «Основные средства».</w:t>
      </w:r>
    </w:p>
    <w:p>
      <w:pPr>
        <w:pStyle w:val="BodyText"/>
        <w:jc w:val="both"/>
        <w:rPr>
          <w:color w:val="000000"/>
          <w:sz w:val="24"/>
          <w:szCs w:val="24"/>
          <w:lang w:val="ru-RU"/>
        </w:rPr>
      </w:pPr>
      <w:r>
        <w:rPr>
          <w:lang w:val="ru-RU"/>
        </w:rPr>
        <w:t>2.10. Начисление амортизации осуществляется следующим образом:</w:t>
      </w:r>
    </w:p>
    <w:p>
      <w:pPr>
        <w:pStyle w:val="BodyText"/>
        <w:jc w:val="both"/>
        <w:rPr>
          <w:lang w:val="ru-RU"/>
        </w:rPr>
      </w:pPr>
      <w:r>
        <w:rPr>
          <w:lang w:val="ru-RU"/>
        </w:rPr>
        <w:t>–</w:t>
      </w:r>
      <w:r>
        <w:rPr>
          <w:lang w:val="ru-RU"/>
        </w:rPr>
        <w:t>линейным методом – на все объекты основных средств.</w:t>
        <w:br/>
        <w:t xml:space="preserve"> Основание: пункты 36, 37 СГС «Основные средства».</w:t>
      </w:r>
    </w:p>
    <w:p>
      <w:pPr>
        <w:pStyle w:val="BodyText"/>
        <w:jc w:val="both"/>
        <w:rPr>
          <w:color w:val="000000"/>
          <w:sz w:val="24"/>
          <w:szCs w:val="24"/>
          <w:lang w:val="ru-RU"/>
        </w:rPr>
      </w:pPr>
      <w:r>
        <w:rPr>
          <w:lang w:val="ru-RU"/>
        </w:rPr>
        <w:t>2.11. В случаях, когда установлены одинаковые сроки полезного использования и метод расчета амортизации всех структурных частей единого объекта основных средств, учреждение объединяет такие части для определения суммы амортизации.</w:t>
        <w:br/>
        <w:t xml:space="preserve"> Основание: пункт 40 СГС «Основные средства».</w:t>
      </w:r>
    </w:p>
    <w:p>
      <w:pPr>
        <w:pStyle w:val="BodyText"/>
        <w:jc w:val="both"/>
        <w:rPr>
          <w:color w:val="FF0000"/>
          <w:sz w:val="24"/>
          <w:szCs w:val="24"/>
          <w:lang w:val="ru-RU"/>
        </w:rPr>
      </w:pPr>
      <w:r>
        <w:rPr>
          <w:lang w:val="ru-RU"/>
        </w:rPr>
        <w:t>2.1</w:t>
      </w:r>
      <w:r>
        <w:rPr>
          <w:color w:val="000000"/>
          <w:lang w:val="ru-RU"/>
        </w:rPr>
        <w:t>2.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br/>
        <w:t xml:space="preserve"> Основание: пункт 41 СГС «Основные средства».</w:t>
      </w:r>
    </w:p>
    <w:p>
      <w:pPr>
        <w:pStyle w:val="BodyText"/>
        <w:jc w:val="both"/>
        <w:rPr>
          <w:color w:val="000000"/>
          <w:sz w:val="24"/>
          <w:szCs w:val="24"/>
          <w:lang w:val="ru-RU"/>
        </w:rPr>
      </w:pPr>
      <w:r>
        <w:rPr>
          <w:lang w:val="ru-RU"/>
        </w:rPr>
        <w:t>2.13. Срок полезного использования объектов основных средств устанавливает комиссия по поступлению и выбытию в соответствии с пунктом 35 СГС «Основные средства».</w:t>
      </w:r>
    </w:p>
    <w:p>
      <w:pPr>
        <w:pStyle w:val="BodyText"/>
        <w:jc w:val="both"/>
        <w:rPr>
          <w:lang w:val="ru-RU"/>
        </w:rPr>
      </w:pPr>
      <w:r>
        <w:rPr>
          <w:lang w:val="ru-RU"/>
        </w:rPr>
        <w:t>2.14. В</w:t>
      </w:r>
      <w:r>
        <w:rPr>
          <w:color w:val="000000"/>
          <w:lang w:val="ru-RU"/>
        </w:rPr>
        <w:t xml:space="preserve"> соответствии с Постановлением администрации муниципального образования Кавказский район от 01.11.2010 года № 1000 «О порядке определения видов особого ценного движимого имущества</w:t>
      </w:r>
      <w:r>
        <w:rPr>
          <w:color w:val="FF0000"/>
          <w:lang w:val="ru-RU"/>
        </w:rPr>
        <w:t xml:space="preserve"> </w:t>
      </w:r>
      <w:r>
        <w:rPr>
          <w:lang w:val="ru-RU"/>
        </w:rPr>
        <w:t>автономного или бюджетного учреждения муниципального образования Кавказский район и перечней особо ценного движимого имущества автономного учреждения муниципального образования Кавказский район, приказом управления образования администрации муниципального образования Кавказский район от 28 июня 2018 года № 668/1 утверждены виды ОЦДИ муниципальных бюджетных учреждений, осуществляющих свою деятельность в сфере образования. Имущество бюджетных и автономных учреждений, относящееся к категории особо ценного имущества (ОЦИ), определяет комиссия по поступлению и выбытию нефинансовых активов учреждения. Такое имущество принимается к учету на основании выписки из протокола комиссии.</w:t>
      </w:r>
    </w:p>
    <w:p>
      <w:pPr>
        <w:pStyle w:val="BodyText"/>
        <w:jc w:val="both"/>
        <w:rPr>
          <w:color w:val="000000"/>
          <w:sz w:val="24"/>
          <w:szCs w:val="24"/>
          <w:lang w:val="ru-RU"/>
        </w:rPr>
      </w:pPr>
      <w:r>
        <w:rPr>
          <w:lang w:val="ru-RU"/>
        </w:rPr>
        <w:t>2.15. Основные средства стоимостью до 10 000 руб. включительно, находящиеся в эксплуатации, учитываются на забалансовом счете 21</w:t>
      </w:r>
      <w:r>
        <w:rPr/>
        <w:t> </w:t>
      </w:r>
      <w:r>
        <w:rPr>
          <w:lang w:val="ru-RU"/>
        </w:rPr>
        <w:t>по балансовой стоимости.</w:t>
        <w:br/>
        <w:t xml:space="preserve"> Основание: пункт 39 СГС «Основные средства», пункт 373 Инструкции к Единому плану счетов № 157н.</w:t>
      </w:r>
    </w:p>
    <w:p>
      <w:pPr>
        <w:pStyle w:val="BodyText"/>
        <w:jc w:val="both"/>
        <w:rPr>
          <w:color w:val="000000"/>
          <w:sz w:val="24"/>
          <w:szCs w:val="24"/>
          <w:lang w:val="ru-RU"/>
        </w:rPr>
      </w:pPr>
      <w:r>
        <w:rPr>
          <w:lang w:val="ru-RU"/>
        </w:rPr>
        <w:t>2.16. При приобретении и (или) создании основных средств за счет средств, полученных по разным видам деятельности, сумма вложений, сформированных на счете КБК Х.106.00.000, переводится на код вида деятельности 4 «субсидии на выполнение государственного (муниципального) задания».</w:t>
      </w:r>
    </w:p>
    <w:p>
      <w:pPr>
        <w:pStyle w:val="BodyText"/>
        <w:jc w:val="both"/>
        <w:rPr>
          <w:color w:val="000000"/>
          <w:sz w:val="24"/>
          <w:szCs w:val="24"/>
          <w:lang w:val="ru-RU"/>
        </w:rPr>
      </w:pPr>
      <w:r>
        <w:rPr>
          <w:lang w:val="ru-RU"/>
        </w:rPr>
        <w:t>2.17. При принятии учредителем решения о выделении средств субсидии бюджетному или автономному учреждению на финансовое обеспечение выполнения муниципального задания на содержание объекта основных средств, который ранее приобретен (создан) учреждением за счет средств от приносящей доход деятельности, стоимость этого объекта переводится с кода вида деятельности «2» на код вида деятельности «4». Одновременно переводится сумма начисленной амортизации.</w:t>
      </w:r>
    </w:p>
    <w:p>
      <w:pPr>
        <w:pStyle w:val="BodyText"/>
        <w:jc w:val="both"/>
        <w:rPr>
          <w:color w:val="FF0000"/>
          <w:sz w:val="40"/>
          <w:szCs w:val="40"/>
          <w:lang w:val="ru-RU"/>
        </w:rPr>
      </w:pPr>
      <w:r>
        <w:rPr>
          <w:lang w:val="ru-RU"/>
        </w:rPr>
        <w:t xml:space="preserve">2.18. Локально-вычислительная сеть (ЛВС) и охранно-пожарная сигнализация (ОПС) как отдельные инвентарные объекты - не учитываются. Отдельные элементы ЛВС и ОПС, которые соответствуют критериям основных средств, установленным СГС «Основные средства», учитываются как отдельные основные средства. Элементы ЛВС или ОПС, для которых установлен одинаковый срок полезного использования, учитываются как единый инвентарный объект в порядке, </w:t>
      </w:r>
      <w:r>
        <w:rPr>
          <w:color w:val="000000"/>
          <w:sz w:val="22"/>
          <w:szCs w:val="22"/>
          <w:lang w:val="ru-RU"/>
        </w:rPr>
        <w:t xml:space="preserve">установленном в пункте 2.2 раздела </w:t>
      </w:r>
      <w:r>
        <w:rPr>
          <w:color w:val="000000"/>
          <w:sz w:val="22"/>
          <w:szCs w:val="22"/>
          <w:lang w:val="en-US"/>
        </w:rPr>
        <w:t>I</w:t>
      </w:r>
      <w:r>
        <w:rPr>
          <w:color w:val="000000"/>
          <w:sz w:val="22"/>
          <w:szCs w:val="22"/>
        </w:rPr>
        <w:t>V</w:t>
      </w:r>
      <w:r>
        <w:rPr>
          <w:color w:val="000000"/>
          <w:sz w:val="22"/>
          <w:szCs w:val="22"/>
          <w:lang w:val="ru-RU"/>
        </w:rPr>
        <w:t xml:space="preserve"> настоящей учетной политики.</w:t>
      </w:r>
    </w:p>
    <w:p>
      <w:pPr>
        <w:pStyle w:val="BodyText"/>
        <w:jc w:val="both"/>
        <w:rPr>
          <w:color w:val="000000"/>
          <w:sz w:val="24"/>
          <w:szCs w:val="24"/>
          <w:lang w:val="ru-RU"/>
        </w:rPr>
      </w:pPr>
      <w:r>
        <w:rPr>
          <w:lang w:val="ru-RU"/>
        </w:rPr>
        <w:t>2.19. Расходы на доставку нескольких имущественных объектов распределяются в первоначальную стоимость этих объектов пропорционально их стоимости, указанной в договоре поставки.</w:t>
      </w:r>
    </w:p>
    <w:p>
      <w:pPr>
        <w:pStyle w:val="BodyText"/>
        <w:jc w:val="both"/>
        <w:rPr>
          <w:lang w:val="ru-RU"/>
        </w:rPr>
      </w:pPr>
      <w:r>
        <w:rPr>
          <w:lang w:val="ru-RU"/>
        </w:rPr>
        <w:t>3. Нематериальные активы</w:t>
      </w:r>
    </w:p>
    <w:p>
      <w:pPr>
        <w:pStyle w:val="BodyText"/>
        <w:jc w:val="both"/>
        <w:rPr>
          <w:lang w:val="ru-RU"/>
        </w:rPr>
      </w:pPr>
      <w:r>
        <w:rPr>
          <w:lang w:val="ru-RU"/>
        </w:rPr>
        <w:t>3.1. Принятие к бухгалтерскому учету нематериальных активов осуществляется централизованной бухгалтерией на основании решения комиссии учреждения по поступлению и выбытию активов с указанием:</w:t>
      </w:r>
    </w:p>
    <w:p>
      <w:pPr>
        <w:pStyle w:val="BodyText"/>
        <w:rPr>
          <w:lang w:val="ru-RU"/>
        </w:rPr>
      </w:pPr>
      <w:r>
        <w:rPr>
          <w:lang w:val="ru-RU"/>
        </w:rPr>
        <w:t>–</w:t>
      </w:r>
      <w:r>
        <w:rPr>
          <w:lang w:val="ru-RU"/>
        </w:rPr>
        <w:t>стоимости нематериального актива;</w:t>
        <w:br/>
        <w:t xml:space="preserve"> – срока полезного использования актива</w:t>
      </w:r>
      <w:r>
        <w:rPr/>
        <w:t> </w:t>
      </w:r>
      <w:r>
        <w:rPr>
          <w:lang w:val="ru-RU"/>
        </w:rPr>
        <w:t>либо информации о том, что срок не определен.</w:t>
      </w:r>
    </w:p>
    <w:p>
      <w:pPr>
        <w:pStyle w:val="BodyText"/>
        <w:jc w:val="both"/>
        <w:rPr>
          <w:lang w:val="ru-RU"/>
        </w:rPr>
      </w:pPr>
      <w:r>
        <w:rPr>
          <w:lang w:val="ru-RU"/>
        </w:rPr>
        <w:t>3.2. Каждому инвентарному объекту нематериальных активов в момент принятия к бухгалтерскому учету присваивается уникальный инвентарный номер, который состоит из 12</w:t>
      </w:r>
      <w:r>
        <w:rPr/>
        <w:t> </w:t>
      </w:r>
      <w:r>
        <w:rPr>
          <w:lang w:val="ru-RU"/>
        </w:rPr>
        <w:t>знаков:</w:t>
      </w:r>
    </w:p>
    <w:p>
      <w:pPr>
        <w:pStyle w:val="BodyText"/>
        <w:rPr>
          <w:lang w:val="ru-RU"/>
        </w:rPr>
      </w:pPr>
      <w:r>
        <w:rPr>
          <w:lang w:val="ru-RU"/>
        </w:rPr>
        <w:t>1- й знак  - код вида финансового обеспечения;</w:t>
        <w:br/>
        <w:t xml:space="preserve"> 2-4 й знаки — коды синтетического счета;</w:t>
      </w:r>
    </w:p>
    <w:p>
      <w:pPr>
        <w:pStyle w:val="BodyText"/>
        <w:jc w:val="both"/>
        <w:rPr>
          <w:lang w:val="ru-RU"/>
        </w:rPr>
      </w:pPr>
      <w:r>
        <w:rPr>
          <w:lang w:val="ru-RU"/>
        </w:rPr>
        <w:t>5-6 й знаки -коды аналитического счета;</w:t>
      </w:r>
    </w:p>
    <w:p>
      <w:pPr>
        <w:pStyle w:val="BodyText"/>
        <w:jc w:val="both"/>
        <w:rPr>
          <w:lang w:val="ru-RU"/>
        </w:rPr>
      </w:pPr>
      <w:r>
        <w:rPr>
          <w:lang w:val="ru-RU"/>
        </w:rPr>
        <w:t>7-12 й знаки- порядковый номер нематериального актива</w:t>
      </w:r>
    </w:p>
    <w:p>
      <w:pPr>
        <w:pStyle w:val="BodyText"/>
        <w:jc w:val="both"/>
        <w:rPr>
          <w:color w:val="000000"/>
          <w:sz w:val="24"/>
          <w:szCs w:val="24"/>
          <w:lang w:val="ru-RU"/>
        </w:rPr>
      </w:pPr>
      <w:r>
        <w:rPr>
          <w:lang w:val="ru-RU"/>
        </w:rPr>
        <w:t>Основание: пункт 46 Инструкции к Единому плану счетов № 157н.</w:t>
      </w:r>
    </w:p>
    <w:p>
      <w:pPr>
        <w:pStyle w:val="BodyText"/>
        <w:jc w:val="both"/>
        <w:rPr>
          <w:color w:val="000000"/>
          <w:sz w:val="24"/>
          <w:szCs w:val="24"/>
          <w:lang w:val="ru-RU"/>
        </w:rPr>
      </w:pPr>
      <w:r>
        <w:rPr>
          <w:lang w:val="ru-RU"/>
        </w:rPr>
        <w:t>Инвентарные номера объектов нематериальных, принятых к бухгалтерскому учету до передачи централизуемых полномочий учреждений, после миграции базы данных не изменяются.</w:t>
      </w:r>
    </w:p>
    <w:p>
      <w:pPr>
        <w:pStyle w:val="BodyText"/>
        <w:jc w:val="both"/>
        <w:rPr>
          <w:color w:val="000000"/>
          <w:sz w:val="24"/>
          <w:szCs w:val="24"/>
          <w:lang w:val="ru-RU"/>
        </w:rPr>
      </w:pPr>
      <w:r>
        <w:rPr>
          <w:lang w:val="ru-RU"/>
        </w:rPr>
        <w:t>3.3. Начисление амортизации на объекты нематериальных активов осуществляется следующим образом:</w:t>
      </w:r>
    </w:p>
    <w:p>
      <w:pPr>
        <w:pStyle w:val="BodyText"/>
        <w:jc w:val="both"/>
        <w:rPr>
          <w:lang w:val="ru-RU"/>
        </w:rPr>
      </w:pPr>
      <w:r>
        <w:rPr>
          <w:lang w:val="ru-RU"/>
        </w:rPr>
        <w:t xml:space="preserve"> – </w:t>
      </w:r>
      <w:r>
        <w:rPr>
          <w:lang w:val="ru-RU"/>
        </w:rPr>
        <w:t>линейным методом – на объекты нематериальных активов.</w:t>
        <w:br/>
        <w:t xml:space="preserve"> Основание: пункты 30, 31</w:t>
      </w:r>
      <w:r>
        <w:rPr/>
        <w:t> </w:t>
      </w:r>
      <w:r>
        <w:rPr>
          <w:lang w:val="ru-RU"/>
        </w:rPr>
        <w:t>СГС «Нематериальные активы».</w:t>
      </w:r>
    </w:p>
    <w:p>
      <w:pPr>
        <w:pStyle w:val="BodyText"/>
        <w:jc w:val="both"/>
        <w:rPr>
          <w:color w:val="000000"/>
          <w:sz w:val="24"/>
          <w:szCs w:val="24"/>
          <w:lang w:val="ru-RU"/>
        </w:rPr>
      </w:pPr>
      <w:r>
        <w:rPr>
          <w:lang w:val="ru-RU"/>
        </w:rPr>
        <w:t>3.4. Данные</w:t>
      </w:r>
      <w:r>
        <w:rPr/>
        <w:t> </w:t>
      </w:r>
      <w:r>
        <w:rPr>
          <w:lang w:val="ru-RU"/>
        </w:rPr>
        <w:t>по группам нематериальных</w:t>
      </w:r>
      <w:r>
        <w:rPr>
          <w:color w:val="000000"/>
          <w:lang w:val="ru-RU"/>
        </w:rPr>
        <w:t xml:space="preserve"> активов раздельно по объектам, которые созданы собственными силами учреждений, и прочим объектам,  дополнительно раскрываются в отчетности в части изменения стоимости объектов в результате недостач и излишков.</w:t>
      </w:r>
      <w:r>
        <w:rPr>
          <w:lang w:val="ru-RU"/>
        </w:rPr>
        <w:br/>
        <w:t xml:space="preserve"> Основание: пункт 44</w:t>
      </w:r>
      <w:r>
        <w:rPr/>
        <w:t> </w:t>
      </w:r>
      <w:r>
        <w:rPr>
          <w:lang w:val="ru-RU"/>
        </w:rPr>
        <w:t>СГС «Нематериальные активы».</w:t>
      </w:r>
    </w:p>
    <w:p>
      <w:pPr>
        <w:pStyle w:val="BodyText"/>
        <w:jc w:val="both"/>
        <w:rPr>
          <w:color w:val="000000"/>
          <w:sz w:val="24"/>
          <w:szCs w:val="24"/>
          <w:lang w:val="ru-RU"/>
        </w:rPr>
      </w:pPr>
      <w:r>
        <w:rPr>
          <w:lang w:val="ru-RU"/>
        </w:rPr>
        <w:t>4. Материальные запасы</w:t>
      </w:r>
    </w:p>
    <w:p>
      <w:pPr>
        <w:pStyle w:val="BodyText"/>
        <w:jc w:val="both"/>
        <w:rPr>
          <w:color w:val="000000"/>
          <w:sz w:val="24"/>
          <w:szCs w:val="24"/>
        </w:rPr>
      </w:pPr>
      <w:r>
        <w:rPr>
          <w:lang w:val="ru-RU"/>
        </w:rPr>
        <w:t>4.1. Единица учета материальных запасов в учреждении – номенклатурная  единица.</w:t>
      </w:r>
    </w:p>
    <w:p>
      <w:pPr>
        <w:pStyle w:val="BodyText"/>
        <w:jc w:val="both"/>
        <w:rPr>
          <w:color w:val="000000"/>
          <w:sz w:val="24"/>
          <w:szCs w:val="24"/>
        </w:rPr>
      </w:pPr>
      <w:r>
        <w:rPr>
          <w:lang w:val="ru-RU"/>
        </w:rPr>
        <w:t xml:space="preserve"> </w:t>
      </w:r>
      <w:r>
        <w:rPr/>
        <w:t>Исключение:</w:t>
      </w:r>
    </w:p>
    <w:p>
      <w:pPr>
        <w:pStyle w:val="BodyText"/>
        <w:numPr>
          <w:ilvl w:val="0"/>
          <w:numId w:val="10"/>
        </w:numPr>
        <w:jc w:val="both"/>
        <w:rPr>
          <w:color w:val="000000"/>
          <w:sz w:val="24"/>
          <w:szCs w:val="24"/>
          <w:lang w:val="ru-RU"/>
        </w:rPr>
      </w:pPr>
      <w:r>
        <w:rPr>
          <w:lang w:val="ru-RU"/>
        </w:rPr>
        <w:t>группы материальных запасов, характеристики которых совпадают, например офисная бумага одного формата с одинаковым количеством листов в пачке, кнопки канцелярские с одинаковыми диаметром и количеством штук в коробке и т. д. Единица учета таких материальных запасов – однородная (реестровая) группа запасов;</w:t>
      </w:r>
    </w:p>
    <w:p>
      <w:pPr>
        <w:pStyle w:val="BodyText"/>
        <w:numPr>
          <w:ilvl w:val="0"/>
          <w:numId w:val="10"/>
        </w:numPr>
        <w:jc w:val="both"/>
        <w:rPr>
          <w:color w:val="000000"/>
          <w:sz w:val="24"/>
          <w:szCs w:val="24"/>
        </w:rPr>
      </w:pPr>
      <w:r>
        <w:rPr>
          <w:lang w:val="ru-RU"/>
        </w:rPr>
        <w:t xml:space="preserve">материальные запасы с ограниченным сроком годности – продукты питания, медикаменты и др., а также товары для продажи. </w:t>
      </w:r>
      <w:r>
        <w:rPr/>
        <w:t>Единица учета таких материальных запасов – партия.</w:t>
      </w:r>
    </w:p>
    <w:p>
      <w:pPr>
        <w:pStyle w:val="BodyText"/>
        <w:jc w:val="both"/>
        <w:rPr>
          <w:color w:val="000000"/>
          <w:sz w:val="24"/>
          <w:szCs w:val="24"/>
          <w:lang w:val="ru-RU"/>
        </w:rPr>
      </w:pPr>
      <w:r>
        <w:rPr>
          <w:lang w:val="ru-RU"/>
        </w:rPr>
        <w:t>Решение о применении единиц учета «однородная (реестровая) группа запасов» и «партия» принимает</w:t>
      </w:r>
      <w:r>
        <w:rPr/>
        <w:t> </w:t>
      </w:r>
      <w:r>
        <w:rPr>
          <w:lang w:val="ru-RU"/>
        </w:rPr>
        <w:t>бухгалтер централизованной бухгалтерии на основе своего профессионального суждения.</w:t>
        <w:br/>
        <w:t xml:space="preserve"> Основание: пункт 8 СГС «Запасы».</w:t>
      </w:r>
    </w:p>
    <w:p>
      <w:pPr>
        <w:pStyle w:val="BodyText"/>
        <w:jc w:val="both"/>
        <w:rPr>
          <w:lang w:val="ru-RU"/>
        </w:rPr>
      </w:pPr>
      <w:r>
        <w:rPr>
          <w:lang w:val="ru-RU"/>
        </w:rPr>
        <w:t>4.2. Списание материальных запасов производится по средней фактической стоимости.</w:t>
        <w:br/>
        <w:t xml:space="preserve"> Основание: пункт 108 Инструкции к Единому плану счетов № 157н.</w:t>
      </w:r>
    </w:p>
    <w:p>
      <w:pPr>
        <w:pStyle w:val="BodyText"/>
        <w:jc w:val="both"/>
        <w:rPr>
          <w:lang w:val="ru-RU"/>
        </w:rPr>
      </w:pPr>
      <w:r>
        <w:rPr>
          <w:lang w:val="ru-RU"/>
        </w:rPr>
        <w:t xml:space="preserve">4.3. Снабжение автомобильного транспорта ГСМ проводится по топливным и заборным картам. Исключение составляют выезды в командировку на автомобиле (автобусе) учреждения, когда по пути следования отсутствуют АЗС с оплатой по топливным и заборным картам. </w:t>
      </w:r>
      <w:r>
        <w:rPr>
          <w:rFonts w:cs="Times New Roman"/>
          <w:sz w:val="22"/>
          <w:szCs w:val="22"/>
          <w:lang w:val="ru-RU"/>
        </w:rPr>
        <w:t>Списание на затраты расходов по ГСМ осуществляются по фактическим расходам на основании путевых листов, но не свыше норм, разработанных распоряжением Минтранса РФ от 14.03.2008г. № АМ-23-р «О введении в действие методических рекомендаций «Нормы расхода топлива и смазочных материалов на автомобильном транспорте» и утвержденных приказом руководителя. На основании данных рекомендаций утверждаются нормы  и надбавки к нормам в зимний период на расходы горюче- смазочных материалов приказом руководителя учреждения, приказа управления образования о переходе на зимние норы расхода ГСМ. Стоимость фактически израсходованных объемов ГСМ отражается в учете по кредиту счета 105 00 «Материальные запасы» в полном объеме. Производится сопоставление фактически израсходованных объемов ГСМ с объемами которые при конкретных обстоятельствах (пробеге, времени работы) должны были быть израсходованы в соответствии с установленными нормами. При превышении норм проводится разбирательство (раследование), по результатам которого устанавливается:</w:t>
      </w:r>
    </w:p>
    <w:p>
      <w:pPr>
        <w:pStyle w:val="BodyText"/>
        <w:jc w:val="both"/>
        <w:rPr>
          <w:lang w:val="ru-RU"/>
        </w:rPr>
      </w:pPr>
      <w:r>
        <w:rPr>
          <w:rFonts w:cs="Times New Roman"/>
          <w:sz w:val="22"/>
          <w:szCs w:val="22"/>
        </w:rPr>
        <w:t>-отсутствие виновных лиц (перерасход топлива обусловлен объективными причинами: эксплуатацией в определенных условиях, в определенной местности, неисправностью возникшей в пути);</w:t>
      </w:r>
    </w:p>
    <w:p>
      <w:pPr>
        <w:pStyle w:val="BodyText"/>
        <w:jc w:val="both"/>
        <w:rPr>
          <w:rFonts w:cs="Times New Roman"/>
          <w:sz w:val="22"/>
          <w:szCs w:val="22"/>
        </w:rPr>
      </w:pPr>
      <w:r>
        <w:rPr>
          <w:rFonts w:cs="Times New Roman"/>
          <w:sz w:val="22"/>
          <w:szCs w:val="22"/>
        </w:rPr>
        <w:t xml:space="preserve">-наличие виновных лиц (например, перерасход ГСМ может быть обусловлен ненадлежащей эксплуатацией автомобиля водителем). </w:t>
      </w:r>
    </w:p>
    <w:p>
      <w:pPr>
        <w:pStyle w:val="BodyText"/>
        <w:jc w:val="both"/>
        <w:rPr>
          <w:rFonts w:cs="Times New Roman"/>
          <w:sz w:val="22"/>
          <w:szCs w:val="22"/>
        </w:rPr>
      </w:pPr>
      <w:r>
        <w:rPr>
          <w:rFonts w:cs="Times New Roman"/>
          <w:sz w:val="22"/>
          <w:szCs w:val="22"/>
        </w:rPr>
        <w:t>При отсутствии виновных лиц по результатам проверки планируется мероприятия, направленные на недопущение перерасходов ГСМ в будущем (неисправленная техника направляется на ремонт).</w:t>
      </w:r>
    </w:p>
    <w:p>
      <w:pPr>
        <w:pStyle w:val="BodyText"/>
        <w:jc w:val="both"/>
        <w:rPr>
          <w:lang w:val="ru-RU"/>
        </w:rPr>
      </w:pPr>
      <w:r>
        <w:rPr>
          <w:rFonts w:eastAsia="Times New Roman" w:cs="Times New Roman"/>
          <w:color w:val="000000"/>
          <w:sz w:val="22"/>
          <w:szCs w:val="22"/>
          <w:lang w:val="ru-RU"/>
        </w:rPr>
        <w:t xml:space="preserve"> </w:t>
      </w:r>
      <w:r>
        <w:rPr>
          <w:rFonts w:cs="Times New Roman"/>
          <w:color w:val="000000"/>
          <w:sz w:val="22"/>
          <w:szCs w:val="22"/>
          <w:lang w:val="ru-RU"/>
        </w:rPr>
        <w:t>При наличии виновных лиц стоимость топлива, израсходованного сверх установленных норм, взыскивается с таких лиц в установленном порядке. При этом в бухгалтерском учете делается запись по дебету счета 0 209 74 000 « Расчеты по ущербу материальных запасов» и кредиту счета 0 401 10 172 «Доходы от операций с активами». Расход ГСМ подтверждается данными путевых листов, составляемых и предоставляемых в бухгалтерию ежедневно.</w:t>
      </w:r>
    </w:p>
    <w:p>
      <w:pPr>
        <w:pStyle w:val="BodyText"/>
        <w:jc w:val="both"/>
        <w:rPr>
          <w:lang w:val="ru-RU"/>
        </w:rPr>
      </w:pPr>
      <w:r>
        <w:rPr>
          <w:lang w:val="ru-RU"/>
        </w:rPr>
        <w:t>4.4. Выдача в эксплуатацию на нужды учреждения канцелярских принадлежностей, лекарственных препаратов, запасных частей и хозяйственных материалов оформляется Ведомостью выдачи материальных ценностей на нужды учреждения (ф. 0504210). Эта ведомость является основанием для списания материальных запасов.</w:t>
      </w:r>
    </w:p>
    <w:p>
      <w:pPr>
        <w:pStyle w:val="BodyText"/>
        <w:jc w:val="both"/>
        <w:rPr>
          <w:lang w:val="ru-RU"/>
        </w:rPr>
      </w:pPr>
      <w:r>
        <w:rPr>
          <w:lang w:val="ru-RU"/>
        </w:rPr>
        <w:t>4.5. Мягкий и хозяйственный инвентарь, посуда списываются по Акту о списании мягкого и хозяйственного инвентаря (ф. 0504143). В остальных случаях материальные запасы списываются по Акту о списании материальных запасов (ф. 0504230).</w:t>
      </w:r>
    </w:p>
    <w:p>
      <w:pPr>
        <w:pStyle w:val="BodyText"/>
        <w:jc w:val="both"/>
        <w:rPr>
          <w:lang w:val="ru-RU"/>
        </w:rPr>
      </w:pPr>
      <w:r>
        <w:rPr>
          <w:lang w:val="ru-RU"/>
        </w:rPr>
        <w:t>4.6. При приобретении и (или) создании материальных запасов бюджетными и автономными учреждениями за счет средств, полученных по разным видам деятельности, сумма вложений, сформированных на счете КБК Х.106.00.000, переводится на код вида деятельности 4 «субсидии на выполнение государственного (муниципального) задания».</w:t>
      </w:r>
    </w:p>
    <w:p>
      <w:pPr>
        <w:pStyle w:val="BodyText"/>
        <w:jc w:val="both"/>
        <w:rPr>
          <w:lang w:val="ru-RU"/>
        </w:rPr>
      </w:pPr>
      <w:r>
        <w:rPr>
          <w:lang w:val="ru-RU"/>
        </w:rPr>
        <w:t>4.7. Учет на забалансовом счете 09 «Запасные части к транспортным средствам, выданные взамен изношенных» ведется по цене приобретения. Учету подлежат запасные части и другие комплектующие, которые могут быть использованы на других автомобилях (не типизированные запчасти и комплектующие), такие как:</w:t>
      </w:r>
    </w:p>
    <w:p>
      <w:pPr>
        <w:pStyle w:val="BodyText"/>
        <w:numPr>
          <w:ilvl w:val="0"/>
          <w:numId w:val="11"/>
        </w:numPr>
        <w:jc w:val="both"/>
        <w:rPr>
          <w:color w:val="000000"/>
          <w:sz w:val="24"/>
          <w:szCs w:val="24"/>
          <w:lang w:val="ru-RU"/>
        </w:rPr>
      </w:pPr>
      <w:r>
        <w:rPr>
          <w:lang w:val="ru-RU"/>
        </w:rPr>
        <w:t>автомобильные шины –</w:t>
      </w:r>
      <w:r>
        <w:rPr/>
        <w:t> </w:t>
      </w:r>
      <w:r>
        <w:rPr>
          <w:lang w:val="ru-RU"/>
        </w:rPr>
        <w:t>четыре</w:t>
      </w:r>
      <w:r>
        <w:rPr/>
        <w:t> </w:t>
      </w:r>
      <w:r>
        <w:rPr>
          <w:lang w:val="ru-RU"/>
        </w:rPr>
        <w:t>единицы на один легковой автомобиль;</w:t>
      </w:r>
    </w:p>
    <w:p>
      <w:pPr>
        <w:pStyle w:val="BodyText"/>
        <w:numPr>
          <w:ilvl w:val="0"/>
          <w:numId w:val="11"/>
        </w:numPr>
        <w:jc w:val="both"/>
        <w:rPr>
          <w:color w:val="000000"/>
          <w:sz w:val="24"/>
          <w:szCs w:val="24"/>
          <w:lang w:val="ru-RU"/>
        </w:rPr>
      </w:pPr>
      <w:r>
        <w:rPr>
          <w:lang w:val="ru-RU"/>
        </w:rPr>
        <w:t>колесные диски</w:t>
      </w:r>
      <w:r>
        <w:rPr/>
        <w:t> </w:t>
      </w:r>
      <w:r>
        <w:rPr>
          <w:lang w:val="ru-RU"/>
        </w:rPr>
        <w:t>–</w:t>
      </w:r>
      <w:r>
        <w:rPr/>
        <w:t> </w:t>
      </w:r>
      <w:r>
        <w:rPr>
          <w:lang w:val="ru-RU"/>
        </w:rPr>
        <w:t>четыре единицы на один легковой автомобиль;</w:t>
      </w:r>
    </w:p>
    <w:p>
      <w:pPr>
        <w:pStyle w:val="BodyText"/>
        <w:numPr>
          <w:ilvl w:val="0"/>
          <w:numId w:val="11"/>
        </w:numPr>
        <w:jc w:val="both"/>
        <w:rPr>
          <w:color w:val="000000"/>
          <w:sz w:val="24"/>
          <w:szCs w:val="24"/>
          <w:lang w:val="ru-RU"/>
        </w:rPr>
      </w:pPr>
      <w:r>
        <w:rPr>
          <w:lang w:val="ru-RU"/>
        </w:rPr>
        <w:t>аккумуляторы</w:t>
      </w:r>
      <w:r>
        <w:rPr/>
        <w:t> </w:t>
      </w:r>
      <w:r>
        <w:rPr>
          <w:lang w:val="ru-RU"/>
        </w:rPr>
        <w:t>– одна единица</w:t>
      </w:r>
      <w:r>
        <w:rPr/>
        <w:t> </w:t>
      </w:r>
      <w:r>
        <w:rPr>
          <w:lang w:val="ru-RU"/>
        </w:rPr>
        <w:t>на один автомобиль;</w:t>
      </w:r>
    </w:p>
    <w:p>
      <w:pPr>
        <w:pStyle w:val="BodyText"/>
        <w:jc w:val="both"/>
        <w:rPr>
          <w:color w:val="000000"/>
          <w:sz w:val="24"/>
          <w:szCs w:val="24"/>
          <w:lang w:val="ru-RU"/>
        </w:rPr>
      </w:pPr>
      <w:r>
        <w:rPr>
          <w:lang w:val="ru-RU"/>
        </w:rPr>
        <w:t>Аналитический учет по счету ведется в разрезе автомобилей и материально ответственных лиц.</w:t>
      </w:r>
    </w:p>
    <w:p>
      <w:pPr>
        <w:pStyle w:val="BodyText"/>
        <w:jc w:val="both"/>
        <w:rPr>
          <w:color w:val="000000"/>
          <w:sz w:val="24"/>
          <w:szCs w:val="24"/>
          <w:lang w:val="ru-RU"/>
        </w:rPr>
      </w:pPr>
      <w:r>
        <w:rPr>
          <w:lang w:val="ru-RU"/>
        </w:rPr>
        <w:t>Внутреннее перемещение по счету отражается при передаче:</w:t>
      </w:r>
    </w:p>
    <w:p>
      <w:pPr>
        <w:pStyle w:val="BodyText"/>
        <w:numPr>
          <w:ilvl w:val="0"/>
          <w:numId w:val="12"/>
        </w:numPr>
        <w:jc w:val="both"/>
        <w:rPr>
          <w:color w:val="000000"/>
          <w:sz w:val="24"/>
          <w:szCs w:val="24"/>
        </w:rPr>
      </w:pPr>
      <w:r>
        <w:rPr/>
        <w:t>на другой автомобиль;</w:t>
      </w:r>
    </w:p>
    <w:p>
      <w:pPr>
        <w:pStyle w:val="BodyText"/>
        <w:numPr>
          <w:ilvl w:val="0"/>
          <w:numId w:val="12"/>
        </w:numPr>
        <w:jc w:val="both"/>
        <w:rPr>
          <w:color w:val="000000"/>
          <w:sz w:val="24"/>
          <w:szCs w:val="24"/>
          <w:lang w:val="ru-RU"/>
        </w:rPr>
      </w:pPr>
      <w:r>
        <w:rPr>
          <w:lang w:val="ru-RU"/>
        </w:rPr>
        <w:t>другому материально ответственному лицу вместе с автомобилем.</w:t>
      </w:r>
    </w:p>
    <w:p>
      <w:pPr>
        <w:pStyle w:val="BodyText"/>
        <w:jc w:val="both"/>
        <w:rPr>
          <w:color w:val="000000"/>
          <w:sz w:val="24"/>
          <w:szCs w:val="24"/>
        </w:rPr>
      </w:pPr>
      <w:r>
        <w:rPr/>
        <w:t>Выбытие со счета 09 отражается:</w:t>
      </w:r>
    </w:p>
    <w:p>
      <w:pPr>
        <w:pStyle w:val="BodyText"/>
        <w:numPr>
          <w:ilvl w:val="0"/>
          <w:numId w:val="13"/>
        </w:numPr>
        <w:jc w:val="both"/>
        <w:rPr>
          <w:color w:val="000000"/>
          <w:sz w:val="24"/>
          <w:szCs w:val="24"/>
          <w:lang w:val="ru-RU"/>
        </w:rPr>
      </w:pPr>
      <w:r>
        <w:rPr>
          <w:lang w:val="ru-RU"/>
        </w:rPr>
        <w:t>при списании автомобиля по установленным основаниям;</w:t>
      </w:r>
    </w:p>
    <w:p>
      <w:pPr>
        <w:pStyle w:val="BodyText"/>
        <w:numPr>
          <w:ilvl w:val="0"/>
          <w:numId w:val="13"/>
        </w:numPr>
        <w:jc w:val="both"/>
        <w:rPr>
          <w:color w:val="000000"/>
          <w:sz w:val="24"/>
          <w:szCs w:val="24"/>
          <w:lang w:val="ru-RU"/>
        </w:rPr>
      </w:pPr>
      <w:r>
        <w:rPr>
          <w:lang w:val="ru-RU"/>
        </w:rPr>
        <w:t>установке новых запчастей взамен непригодных к эксплуатации.</w:t>
      </w:r>
    </w:p>
    <w:p>
      <w:pPr>
        <w:pStyle w:val="BodyText"/>
        <w:jc w:val="both"/>
        <w:rPr>
          <w:color w:val="000000"/>
          <w:sz w:val="24"/>
          <w:szCs w:val="24"/>
          <w:lang w:val="ru-RU"/>
        </w:rPr>
      </w:pPr>
      <w:r>
        <w:rPr>
          <w:lang w:val="ru-RU"/>
        </w:rPr>
        <w:t>Основание: пункты 349–350 Инструкции к Единому плану счетов № 157н.</w:t>
      </w:r>
    </w:p>
    <w:p>
      <w:pPr>
        <w:pStyle w:val="BodyText"/>
        <w:jc w:val="both"/>
        <w:rPr>
          <w:lang w:val="ru-RU"/>
        </w:rPr>
      </w:pPr>
      <w:r>
        <w:rPr>
          <w:lang w:val="ru-RU"/>
        </w:rPr>
        <w:t>4.8.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 следующих факторов:</w:t>
      </w:r>
    </w:p>
    <w:p>
      <w:pPr>
        <w:pStyle w:val="BodyText"/>
        <w:numPr>
          <w:ilvl w:val="0"/>
          <w:numId w:val="14"/>
        </w:numPr>
        <w:jc w:val="both"/>
        <w:rPr>
          <w:color w:val="000000"/>
          <w:sz w:val="24"/>
          <w:szCs w:val="24"/>
          <w:lang w:val="ru-RU"/>
        </w:rPr>
      </w:pPr>
      <w:r>
        <w:rPr>
          <w:lang w:val="ru-RU"/>
        </w:rPr>
        <w:t>их справедливой стоимости на дату принятия к бухгалтерскому учету, рассчитанной методом рыночных цен;</w:t>
      </w:r>
    </w:p>
    <w:p>
      <w:pPr>
        <w:pStyle w:val="BodyText"/>
        <w:numPr>
          <w:ilvl w:val="0"/>
          <w:numId w:val="14"/>
        </w:numPr>
        <w:jc w:val="both"/>
        <w:rPr>
          <w:color w:val="000000"/>
          <w:sz w:val="24"/>
          <w:szCs w:val="24"/>
          <w:lang w:val="ru-RU"/>
        </w:rPr>
      </w:pPr>
      <w:r>
        <w:rPr>
          <w:lang w:val="ru-RU"/>
        </w:rPr>
        <w:t>сумм, уплачиваемых учреждением за доставку материальных запасов, приведение их в состояние, пригодное для использования.</w:t>
      </w:r>
    </w:p>
    <w:p>
      <w:pPr>
        <w:pStyle w:val="BodyText"/>
        <w:jc w:val="both"/>
        <w:rPr>
          <w:color w:val="000000"/>
          <w:sz w:val="24"/>
          <w:szCs w:val="24"/>
          <w:lang w:val="ru-RU"/>
        </w:rPr>
      </w:pPr>
      <w:r>
        <w:rPr>
          <w:lang w:val="ru-RU"/>
        </w:rPr>
        <w:t>Основание: пункты 52–60 СГС «Концептуальные основы бухучета и отчетности».</w:t>
      </w:r>
    </w:p>
    <w:p>
      <w:pPr>
        <w:pStyle w:val="BodyText"/>
        <w:jc w:val="both"/>
        <w:rPr>
          <w:lang w:val="ru-RU"/>
        </w:rPr>
      </w:pPr>
      <w:r>
        <w:rPr>
          <w:lang w:val="ru-RU"/>
        </w:rPr>
        <w:t>4.9. Приобретенные, но находящиеся в пути запасы признаются в бухгалтерском учете в оценке, предусмотренной контрактом (договором). Если учреждение понесло затраты, перечисленные в пункте 102 Инструкции к Единому плану счетов № 157н, стоимость запасов увеличивается на сумму данных затрат в день поступления запасов в учреждение. Отклонения фактической стоимости материальных запасов от учетной цены отдельно в учете не отражаются.</w:t>
        <w:br/>
        <w:t xml:space="preserve"> Основание: пункт 18 СГС «Запасы».</w:t>
      </w:r>
    </w:p>
    <w:p>
      <w:pPr>
        <w:pStyle w:val="BodyText"/>
        <w:jc w:val="both"/>
        <w:rPr>
          <w:lang w:val="ru-RU"/>
        </w:rPr>
      </w:pPr>
      <w:r>
        <w:rPr>
          <w:lang w:val="ru-RU"/>
        </w:rPr>
        <w:t>4.10.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в день получения документов о доставке.</w:t>
        <w:br/>
        <w:t xml:space="preserve"> Основание: пункт 19 СГС «Запасы».</w:t>
      </w:r>
    </w:p>
    <w:p>
      <w:pPr>
        <w:pStyle w:val="BodyText"/>
        <w:jc w:val="both"/>
        <w:rPr>
          <w:color w:val="FF0000"/>
          <w:lang w:val="ru-RU"/>
        </w:rPr>
      </w:pPr>
      <w:r>
        <w:rPr>
          <w:lang w:val="ru-RU"/>
        </w:rPr>
        <w:t xml:space="preserve">4.11. Расходы учреждений, </w:t>
      </w:r>
      <w:r>
        <w:rPr>
          <w:color w:val="000000"/>
          <w:lang w:val="ru-RU"/>
        </w:rPr>
        <w:t>за исключением медицинских, на закупку одноразовых и многоразовых масок, перчаток относятся на подстатью КОСГУ 346 «Увеличение стоимости прочих материальных запасов». Одноразовые маски и перчатки учитываются на счете 105.36 «Прочие материальные запасы».</w:t>
      </w:r>
    </w:p>
    <w:p>
      <w:pPr>
        <w:pStyle w:val="BodyText"/>
        <w:jc w:val="both"/>
        <w:rPr>
          <w:color w:val="000000"/>
        </w:rPr>
      </w:pPr>
      <w:r>
        <w:rPr>
          <w:color w:val="000000"/>
          <w:lang w:val="ru-RU"/>
        </w:rPr>
        <w:t xml:space="preserve">4.12. Специальные жидкости для автомобиля (тормозная, стеклоомывающая. </w:t>
      </w:r>
      <w:r>
        <w:rPr>
          <w:rFonts w:eastAsia="Times New Roman" w:cs="Times New Roman"/>
          <w:color w:val="000000"/>
          <w:kern w:val="0"/>
          <w:sz w:val="22"/>
          <w:szCs w:val="22"/>
          <w:lang w:val="ru-RU" w:eastAsia="en-US" w:bidi="ar-SA"/>
        </w:rPr>
        <w:t>т</w:t>
      </w:r>
      <w:r>
        <w:rPr>
          <w:color w:val="000000"/>
          <w:lang w:val="ru-RU"/>
        </w:rPr>
        <w:t>осол и другие охлождающие) учитываются на счете 105.33 и по КОСГУ 343.</w:t>
      </w:r>
    </w:p>
    <w:p>
      <w:pPr>
        <w:pStyle w:val="BodyText"/>
        <w:jc w:val="both"/>
        <w:rPr>
          <w:color w:val="FF0000"/>
          <w:lang w:val="ru-RU"/>
        </w:rPr>
      </w:pPr>
      <w:r>
        <w:rPr>
          <w:color w:val="000000"/>
          <w:lang w:val="ru-RU"/>
        </w:rPr>
        <w:t>4.13..</w:t>
      </w:r>
      <w:r>
        <w:rPr>
          <w:rFonts w:cs="Times New Roman"/>
          <w:color w:val="000000"/>
          <w:sz w:val="22"/>
          <w:szCs w:val="22"/>
          <w:lang w:val="ru-RU"/>
        </w:rPr>
        <w:t>Поступление продуктов питания отражается в бухгалтерском учете на основании товарно- сопроводительных документов поставщика (товарная накладная, универсальный передаточный документ), подтверждающих получение учреждением (отгрузку, передачу) материальных ценностей. Прием пищевых продуктов и продовольственного сырья осуществляется при наличии соответствующих документов (удостоверения качества и безопасности пищевых продуктов, документов изготовителя, поставщика пищевых продуктов, подтверждающих их происхождение, сертификата соответствия) подтверждающих их качество и безопасность. Ежедневно продукты питания отпускаются завхозом (кладовщиком) на пищеблок(кухню) шеф-повару (повару) для приготовления блюд в соответствии с нормами раскладки продуктов питания и данными о численности детей производится по меню-требованию на выдачу продуктов питания по форме 0504202 ОКУД. В детском дошкольном учреждении ежедневно медицинская сестра составляет меню-требование на следующий день. Меню составляется на основании списков присутствующих детей, которые ежедневно подают педагоги (воспитатели). На следующий день, до 8-30 воспитатели подают сведения о фактическом присутствии воспитанников в группах медицинской сестре. В случае снижения численности детей, в количестве более 3 человек по учреждению, если закладка продуктов для приготовления завтрака произошла, порции отпускаются другим детям в виде увеличения нормы блюда. С последующим приемом пищи (обед, полдник) дети , отсутствующие в учреждении, снимаются с питания, а продукты, оставшиеся невостребованными возвращаются на склад по накладной. В</w:t>
      </w:r>
      <w:r>
        <w:rPr>
          <w:rFonts w:cs="Times New Roman"/>
          <w:color w:val="111111"/>
          <w:sz w:val="22"/>
          <w:szCs w:val="22"/>
          <w:lang w:val="ru-RU"/>
        </w:rPr>
        <w:t xml:space="preserve">озврат продуктов выписанных по меню для приготовления обеда, не производится, если они прошли кулинарную обработку в соответствии с технологией приготовления детского питания. Если на завтрак пришло больше детей, чем было заявлено, то для всех детей уменьшают выход блюд и вносят изменения в меню на последующие виды приема пищи в соответствии с количеством прибывших детей (более 3 человек по учреждению).Аналитический учет продуктов питания ведется в оборотной ведомости по нефинансовым активам, записи в которую производят на основании данных накопительной ведомости по приходу продуктов питания и накопительной ведомости по расходу продуктов питания. </w:t>
      </w:r>
    </w:p>
    <w:p>
      <w:pPr>
        <w:pStyle w:val="BodyText"/>
        <w:jc w:val="both"/>
        <w:rPr>
          <w:color w:val="111111"/>
        </w:rPr>
      </w:pPr>
      <w:r>
        <w:rPr>
          <w:rFonts w:cs="Times New Roman"/>
          <w:color w:val="111111"/>
          <w:sz w:val="22"/>
          <w:szCs w:val="22"/>
          <w:lang w:val="ru-RU"/>
        </w:rPr>
        <w:t>4.14. Карты тахографа не признаются активом учреждения, поскольку учреждение не вправе без согласия водителя изъять карту при его увольнении, уничтожить ее или аннулировать. В целях управленческого учета и контроля за сохранностью карты учитываются на дополнительном забалансовом счете 50К «Карты водителей для тахографа».</w:t>
      </w:r>
    </w:p>
    <w:p>
      <w:pPr>
        <w:pStyle w:val="BodyText"/>
        <w:jc w:val="both"/>
        <w:rPr>
          <w:color w:val="111111"/>
        </w:rPr>
      </w:pPr>
      <w:r>
        <w:rPr>
          <w:rFonts w:cs="Times New Roman"/>
          <w:color w:val="111111"/>
          <w:sz w:val="22"/>
          <w:szCs w:val="22"/>
          <w:lang w:val="ru-RU"/>
        </w:rPr>
        <w:t>Основание: пункт 332 Инструкции к Единому плану счетов №157Н.</w:t>
      </w:r>
    </w:p>
    <w:p>
      <w:pPr>
        <w:pStyle w:val="BodyText"/>
        <w:jc w:val="both"/>
        <w:rPr>
          <w:color w:val="000000"/>
          <w:sz w:val="24"/>
          <w:szCs w:val="24"/>
          <w:lang w:val="ru-RU"/>
        </w:rPr>
      </w:pPr>
      <w:r>
        <w:rPr>
          <w:lang w:val="ru-RU"/>
        </w:rPr>
        <w:t>5. Стоимость безвозмездно полученных нефинансовых активов</w:t>
      </w:r>
    </w:p>
    <w:p>
      <w:pPr>
        <w:pStyle w:val="BodyText"/>
        <w:jc w:val="both"/>
        <w:rPr>
          <w:color w:val="000000"/>
          <w:sz w:val="24"/>
          <w:szCs w:val="24"/>
          <w:lang w:val="ru-RU"/>
        </w:rPr>
      </w:pPr>
      <w:r>
        <w:rPr>
          <w:lang w:val="ru-RU"/>
        </w:rPr>
        <w:t>5.1. Данные о справедливой стоимости безвозмездно полученных нефинансовых активов должны</w:t>
      </w:r>
      <w:r>
        <w:rPr/>
        <w:t> </w:t>
      </w:r>
      <w:r>
        <w:rPr>
          <w:lang w:val="ru-RU"/>
        </w:rPr>
        <w:t>быть подтверждены документально:</w:t>
      </w:r>
    </w:p>
    <w:p>
      <w:pPr>
        <w:pStyle w:val="BodyText"/>
        <w:numPr>
          <w:ilvl w:val="0"/>
          <w:numId w:val="15"/>
        </w:numPr>
        <w:jc w:val="both"/>
        <w:rPr>
          <w:color w:val="000000"/>
          <w:sz w:val="24"/>
          <w:szCs w:val="24"/>
          <w:lang w:val="ru-RU"/>
        </w:rPr>
      </w:pPr>
      <w:r>
        <w:rPr>
          <w:lang w:val="ru-RU"/>
        </w:rPr>
        <w:t>справками (другими подтверждающими документами) Росстата;</w:t>
      </w:r>
    </w:p>
    <w:p>
      <w:pPr>
        <w:pStyle w:val="BodyText"/>
        <w:numPr>
          <w:ilvl w:val="0"/>
          <w:numId w:val="15"/>
        </w:numPr>
        <w:jc w:val="both"/>
        <w:rPr>
          <w:color w:val="000000"/>
          <w:sz w:val="24"/>
          <w:szCs w:val="24"/>
        </w:rPr>
      </w:pPr>
      <w:r>
        <w:rPr/>
        <w:t>прайс-листами заводов-изготовителей;</w:t>
      </w:r>
    </w:p>
    <w:p>
      <w:pPr>
        <w:pStyle w:val="BodyText"/>
        <w:numPr>
          <w:ilvl w:val="0"/>
          <w:numId w:val="15"/>
        </w:numPr>
        <w:jc w:val="both"/>
        <w:rPr>
          <w:color w:val="000000"/>
          <w:sz w:val="24"/>
          <w:szCs w:val="24"/>
          <w:lang w:val="ru-RU"/>
        </w:rPr>
      </w:pPr>
      <w:r>
        <w:rPr>
          <w:lang w:val="ru-RU"/>
        </w:rPr>
        <w:t>справками (другими подтверждающими документами) оценщиков;</w:t>
      </w:r>
    </w:p>
    <w:p>
      <w:pPr>
        <w:pStyle w:val="BodyText"/>
        <w:numPr>
          <w:ilvl w:val="0"/>
          <w:numId w:val="15"/>
        </w:numPr>
        <w:jc w:val="both"/>
        <w:rPr>
          <w:color w:val="000000"/>
          <w:sz w:val="24"/>
          <w:szCs w:val="24"/>
          <w:lang w:val="ru-RU"/>
        </w:rPr>
      </w:pPr>
      <w:r>
        <w:rPr>
          <w:lang w:val="ru-RU"/>
        </w:rPr>
        <w:t>информацией, размещенной в СМИ, и т. д.</w:t>
      </w:r>
    </w:p>
    <w:p>
      <w:pPr>
        <w:pStyle w:val="BodyText"/>
        <w:jc w:val="both"/>
        <w:rPr>
          <w:color w:val="000000"/>
          <w:sz w:val="24"/>
          <w:szCs w:val="24"/>
          <w:lang w:val="ru-RU"/>
        </w:rPr>
      </w:pPr>
      <w:r>
        <w:rPr>
          <w:lang w:val="ru-RU"/>
        </w:rPr>
        <w:t>В случаях невозможности документального подтверждения стоимость определяется</w:t>
        <w:br/>
        <w:t xml:space="preserve"> экспертным путем.</w:t>
      </w:r>
    </w:p>
    <w:p>
      <w:pPr>
        <w:pStyle w:val="BodyText"/>
        <w:jc w:val="both"/>
        <w:rPr>
          <w:color w:val="000000"/>
          <w:sz w:val="24"/>
          <w:szCs w:val="24"/>
          <w:lang w:val="ru-RU"/>
        </w:rPr>
      </w:pPr>
      <w:r>
        <w:rPr>
          <w:lang w:val="ru-RU"/>
        </w:rPr>
        <w:t>6. Затраты на изготовление готовой продукции, выполнение работ, оказание услуг</w:t>
      </w:r>
    </w:p>
    <w:p>
      <w:pPr>
        <w:pStyle w:val="BodyText"/>
        <w:jc w:val="both"/>
        <w:rPr>
          <w:lang w:val="ru-RU"/>
        </w:rPr>
      </w:pPr>
      <w:r>
        <w:rPr>
          <w:lang w:val="ru-RU"/>
        </w:rPr>
        <w:t>6.1. Учет расходов по формированию себестоимости ведется раздельно по группам видов услуг (работ):</w:t>
      </w:r>
    </w:p>
    <w:p>
      <w:pPr>
        <w:pStyle w:val="BodyText"/>
        <w:rPr>
          <w:lang w:val="ru-RU"/>
        </w:rPr>
      </w:pPr>
      <w:r>
        <w:rPr>
          <w:lang w:val="ru-RU"/>
        </w:rPr>
        <w:t>а) в рамках выполнения муниципального задания:</w:t>
        <w:br/>
        <w:t>б) в рамках приносящей доход деятельности:</w:t>
      </w:r>
    </w:p>
    <w:p>
      <w:pPr>
        <w:pStyle w:val="BodyText"/>
        <w:jc w:val="both"/>
        <w:rPr>
          <w:lang w:val="ru-RU"/>
        </w:rPr>
      </w:pPr>
      <w:r>
        <w:rPr>
          <w:lang w:val="ru-RU"/>
        </w:rPr>
        <w:t xml:space="preserve"> </w:t>
      </w:r>
      <w:r>
        <w:rPr>
          <w:lang w:val="ru-RU"/>
        </w:rPr>
        <w:t>6.2. Затраты на изготовление готовой продукции (выполнение работ, оказание услуг) делятся на прямые и накладные.</w:t>
      </w:r>
    </w:p>
    <w:p>
      <w:pPr>
        <w:pStyle w:val="BodyText"/>
        <w:jc w:val="both"/>
        <w:rPr>
          <w:color w:val="000000"/>
          <w:sz w:val="24"/>
          <w:szCs w:val="24"/>
          <w:lang w:val="ru-RU"/>
        </w:rPr>
      </w:pPr>
      <w:r>
        <w:rPr>
          <w:b w:val="false"/>
          <w:bCs w:val="false"/>
          <w:lang w:val="ru-RU"/>
        </w:rPr>
        <w:t>В составе прямых затрат</w:t>
      </w:r>
      <w:r>
        <w:rPr>
          <w:lang w:val="ru-RU"/>
        </w:rPr>
        <w:t xml:space="preserve"> при формировании себестоимости оказания услуги учитываются расходы, непосредственно связанные с ее оказанием (изготовлением). В том числе:</w:t>
      </w:r>
    </w:p>
    <w:p>
      <w:pPr>
        <w:pStyle w:val="BodyText"/>
        <w:numPr>
          <w:ilvl w:val="0"/>
          <w:numId w:val="16"/>
        </w:numPr>
        <w:jc w:val="both"/>
        <w:rPr>
          <w:color w:val="000000"/>
          <w:sz w:val="24"/>
          <w:szCs w:val="24"/>
          <w:lang w:val="ru-RU"/>
        </w:rPr>
      </w:pPr>
      <w:r>
        <w:rPr>
          <w:lang w:val="ru-RU"/>
        </w:rPr>
        <w:t>затраты на оплату труда и начисления на выплаты по оплате труда сотрудников учреждения, непосредственно участвующих в оказании услуги;</w:t>
      </w:r>
    </w:p>
    <w:p>
      <w:pPr>
        <w:pStyle w:val="BodyText"/>
        <w:numPr>
          <w:ilvl w:val="0"/>
          <w:numId w:val="16"/>
        </w:numPr>
        <w:jc w:val="both"/>
        <w:rPr>
          <w:color w:val="000000"/>
          <w:sz w:val="24"/>
          <w:szCs w:val="24"/>
          <w:lang w:val="ru-RU"/>
        </w:rPr>
      </w:pPr>
      <w:r>
        <w:rPr>
          <w:lang w:val="ru-RU"/>
        </w:rPr>
        <w:t>списанные материальные запасы, израсходованные непосредственно на оказание услуги , естественная убыль;</w:t>
      </w:r>
    </w:p>
    <w:p>
      <w:pPr>
        <w:pStyle w:val="BodyText"/>
        <w:numPr>
          <w:ilvl w:val="0"/>
          <w:numId w:val="16"/>
        </w:numPr>
        <w:jc w:val="both"/>
        <w:rPr>
          <w:color w:val="000000"/>
          <w:sz w:val="24"/>
          <w:szCs w:val="24"/>
          <w:lang w:val="ru-RU"/>
        </w:rPr>
      </w:pPr>
      <w:r>
        <w:rPr>
          <w:lang w:val="ru-RU"/>
        </w:rPr>
        <w:t>переданные в эксплуатацию объекты основных средств стоимостью до 10 000 руб. включительно, которые используются при оказании услуги;</w:t>
      </w:r>
    </w:p>
    <w:p>
      <w:pPr>
        <w:pStyle w:val="BodyText"/>
        <w:numPr>
          <w:ilvl w:val="0"/>
          <w:numId w:val="16"/>
        </w:numPr>
        <w:jc w:val="both"/>
        <w:rPr>
          <w:color w:val="000000"/>
          <w:sz w:val="24"/>
          <w:szCs w:val="24"/>
          <w:lang w:val="ru-RU"/>
        </w:rPr>
      </w:pPr>
      <w:r>
        <w:rPr>
          <w:lang w:val="ru-RU"/>
        </w:rPr>
        <w:t>сумма амортизации основных средств, которые используются при оказании услуги ;</w:t>
      </w:r>
    </w:p>
    <w:p>
      <w:pPr>
        <w:pStyle w:val="BodyText"/>
        <w:jc w:val="both"/>
        <w:rPr>
          <w:color w:val="000000"/>
          <w:sz w:val="24"/>
          <w:szCs w:val="24"/>
          <w:lang w:val="ru-RU"/>
        </w:rPr>
      </w:pPr>
      <w:r>
        <w:rPr>
          <w:b w:val="false"/>
          <w:bCs w:val="false"/>
          <w:lang w:val="ru-RU"/>
        </w:rPr>
        <w:t>В составе накладных расходов</w:t>
      </w:r>
      <w:r>
        <w:rPr>
          <w:lang w:val="ru-RU"/>
        </w:rPr>
        <w:t xml:space="preserve"> при формировании себестоимости услуг (готовой продукции) учитываются расходы:</w:t>
      </w:r>
    </w:p>
    <w:p>
      <w:pPr>
        <w:pStyle w:val="BodyText"/>
        <w:numPr>
          <w:ilvl w:val="0"/>
          <w:numId w:val="17"/>
        </w:numPr>
        <w:jc w:val="both"/>
        <w:rPr>
          <w:color w:val="000000"/>
          <w:sz w:val="24"/>
          <w:szCs w:val="24"/>
          <w:lang w:val="ru-RU"/>
        </w:rPr>
      </w:pPr>
      <w:r>
        <w:rPr>
          <w:lang w:val="ru-RU"/>
        </w:rPr>
        <w:t>затраты на оплату труда и начисления на выплаты по оплате труда сотрудников учреждения, участвующих в оказании нескольких видов услуг (изготовлении продукции);</w:t>
      </w:r>
    </w:p>
    <w:p>
      <w:pPr>
        <w:pStyle w:val="BodyText"/>
        <w:numPr>
          <w:ilvl w:val="0"/>
          <w:numId w:val="17"/>
        </w:numPr>
        <w:jc w:val="both"/>
        <w:rPr>
          <w:color w:val="000000"/>
          <w:sz w:val="24"/>
          <w:szCs w:val="24"/>
          <w:lang w:val="ru-RU"/>
        </w:rPr>
      </w:pPr>
      <w:r>
        <w:rPr>
          <w:lang w:val="ru-RU"/>
        </w:rPr>
        <w:t>материальные запасы, израсходованные на нужды учреждения, естественная убыль;</w:t>
      </w:r>
    </w:p>
    <w:p>
      <w:pPr>
        <w:pStyle w:val="BodyText"/>
        <w:numPr>
          <w:ilvl w:val="0"/>
          <w:numId w:val="17"/>
        </w:numPr>
        <w:jc w:val="both"/>
        <w:rPr>
          <w:color w:val="000000"/>
          <w:sz w:val="24"/>
          <w:szCs w:val="24"/>
          <w:lang w:val="ru-RU"/>
        </w:rPr>
      </w:pPr>
      <w:r>
        <w:rPr>
          <w:lang w:val="ru-RU"/>
        </w:rPr>
        <w:t>переданные в эксплуатацию объекты основных средств стоимостью до 10 000 руб. включительно в случае их использования для изготовления нескольких видов продукции, оказания услуг;</w:t>
      </w:r>
    </w:p>
    <w:p>
      <w:pPr>
        <w:pStyle w:val="BodyText"/>
        <w:numPr>
          <w:ilvl w:val="0"/>
          <w:numId w:val="17"/>
        </w:numPr>
        <w:jc w:val="both"/>
        <w:rPr>
          <w:color w:val="000000"/>
          <w:sz w:val="24"/>
          <w:szCs w:val="24"/>
          <w:lang w:val="ru-RU"/>
        </w:rPr>
      </w:pPr>
      <w:r>
        <w:rPr>
          <w:lang w:val="ru-RU"/>
        </w:rPr>
        <w:t>амортизация основных средств, которые используются для изготовления разных видов продукции, оказания услуг;</w:t>
      </w:r>
    </w:p>
    <w:p>
      <w:pPr>
        <w:pStyle w:val="BodyText"/>
        <w:numPr>
          <w:ilvl w:val="0"/>
          <w:numId w:val="17"/>
        </w:numPr>
        <w:jc w:val="both"/>
        <w:rPr>
          <w:color w:val="000000"/>
          <w:sz w:val="24"/>
          <w:szCs w:val="24"/>
          <w:lang w:val="ru-RU"/>
        </w:rPr>
      </w:pPr>
      <w:r>
        <w:rPr>
          <w:lang w:val="ru-RU"/>
        </w:rPr>
        <w:t>расходы, связанные с ремонтом, техническим обслуживанием нефинансовых активов;</w:t>
      </w:r>
    </w:p>
    <w:p>
      <w:pPr>
        <w:pStyle w:val="BodyText"/>
        <w:jc w:val="both"/>
        <w:rPr>
          <w:color w:val="000000"/>
          <w:sz w:val="24"/>
          <w:szCs w:val="24"/>
          <w:lang w:val="ru-RU"/>
        </w:rPr>
      </w:pPr>
      <w:r>
        <w:rPr>
          <w:lang w:val="ru-RU"/>
        </w:rPr>
        <w:t>6.3.</w:t>
      </w:r>
      <w:r>
        <w:rPr>
          <w:b w:val="false"/>
          <w:bCs w:val="false"/>
          <w:lang w:val="ru-RU"/>
        </w:rPr>
        <w:t xml:space="preserve"> Накладные расходы </w:t>
      </w:r>
      <w:r>
        <w:rPr>
          <w:lang w:val="ru-RU"/>
        </w:rPr>
        <w:t>распределяются между себестоимостью разных видов услуг по окончании месяца пропорционально прямым затратам на оплату труда в месяце распределения.</w:t>
      </w:r>
    </w:p>
    <w:p>
      <w:pPr>
        <w:pStyle w:val="BodyText"/>
        <w:jc w:val="both"/>
        <w:rPr>
          <w:color w:val="000000"/>
          <w:sz w:val="24"/>
          <w:szCs w:val="24"/>
          <w:lang w:val="ru-RU"/>
        </w:rPr>
      </w:pPr>
      <w:r>
        <w:rPr>
          <w:lang w:val="ru-RU"/>
        </w:rPr>
        <w:t xml:space="preserve">6.4. </w:t>
      </w:r>
      <w:r>
        <w:rPr>
          <w:b w:val="false"/>
          <w:bCs w:val="false"/>
          <w:lang w:val="ru-RU"/>
        </w:rPr>
        <w:t xml:space="preserve">В составе общехозяйственных </w:t>
      </w:r>
      <w:r>
        <w:rPr>
          <w:lang w:val="ru-RU"/>
        </w:rPr>
        <w:t>расходов учитываются расходы, распределяемые между всеми видами услуг (продукции):</w:t>
      </w:r>
    </w:p>
    <w:p>
      <w:pPr>
        <w:pStyle w:val="BodyText"/>
        <w:numPr>
          <w:ilvl w:val="0"/>
          <w:numId w:val="18"/>
        </w:numPr>
        <w:jc w:val="both"/>
        <w:rPr>
          <w:color w:val="000000"/>
          <w:sz w:val="24"/>
          <w:szCs w:val="24"/>
          <w:lang w:val="ru-RU"/>
        </w:rPr>
      </w:pPr>
      <w:r>
        <w:rPr>
          <w:lang w:val="ru-RU"/>
        </w:rPr>
        <w:t>расходы на оплату труда и начисления на выплаты по оплате труда сотрудников учреждения, не принимающих непосредственного участия при оказании услуги : административно-управленческого, административно-хозяйственного и прочего обслуживающего персонала;</w:t>
      </w:r>
    </w:p>
    <w:p>
      <w:pPr>
        <w:pStyle w:val="BodyText"/>
        <w:numPr>
          <w:ilvl w:val="0"/>
          <w:numId w:val="18"/>
        </w:numPr>
        <w:jc w:val="both"/>
        <w:rPr>
          <w:color w:val="000000"/>
          <w:sz w:val="24"/>
          <w:szCs w:val="24"/>
          <w:lang w:val="ru-RU"/>
        </w:rPr>
      </w:pPr>
      <w:r>
        <w:rPr>
          <w:lang w:val="ru-RU"/>
        </w:rPr>
        <w:t>материальные запасы, израсходованные на общехозяйственные нужды учреждения (в том числе в качестве естественной убыли, пришедшие в негодность) на цели, не связанные напрямую с оказанием услуг;</w:t>
      </w:r>
    </w:p>
    <w:p>
      <w:pPr>
        <w:pStyle w:val="BodyText"/>
        <w:numPr>
          <w:ilvl w:val="0"/>
          <w:numId w:val="18"/>
        </w:numPr>
        <w:jc w:val="both"/>
        <w:rPr>
          <w:color w:val="000000"/>
          <w:sz w:val="24"/>
          <w:szCs w:val="24"/>
          <w:lang w:val="ru-RU"/>
        </w:rPr>
      </w:pPr>
      <w:r>
        <w:rPr>
          <w:lang w:val="ru-RU"/>
        </w:rPr>
        <w:t>переданные в эксплуатацию объекты основных средств стоимостью до 10 000 руб. включительно на цели, не связанные напрямую с оказанием услуг;</w:t>
      </w:r>
    </w:p>
    <w:p>
      <w:pPr>
        <w:pStyle w:val="BodyText"/>
        <w:numPr>
          <w:ilvl w:val="0"/>
          <w:numId w:val="18"/>
        </w:numPr>
        <w:jc w:val="both"/>
        <w:rPr>
          <w:color w:val="000000"/>
          <w:sz w:val="24"/>
          <w:szCs w:val="24"/>
          <w:lang w:val="ru-RU"/>
        </w:rPr>
      </w:pPr>
      <w:r>
        <w:rPr>
          <w:lang w:val="ru-RU"/>
        </w:rPr>
        <w:t>амортизация основных средств, не связанных напрямую с оказанием услуг (выполнением работ);</w:t>
      </w:r>
    </w:p>
    <w:p>
      <w:pPr>
        <w:pStyle w:val="BodyText"/>
        <w:numPr>
          <w:ilvl w:val="0"/>
          <w:numId w:val="18"/>
        </w:numPr>
        <w:jc w:val="both"/>
        <w:rPr>
          <w:color w:val="000000"/>
          <w:sz w:val="24"/>
          <w:szCs w:val="24"/>
        </w:rPr>
      </w:pPr>
      <w:r>
        <w:rPr/>
        <w:t>коммунальные расходы;</w:t>
      </w:r>
    </w:p>
    <w:p>
      <w:pPr>
        <w:pStyle w:val="BodyText"/>
        <w:numPr>
          <w:ilvl w:val="0"/>
          <w:numId w:val="18"/>
        </w:numPr>
        <w:jc w:val="both"/>
        <w:rPr>
          <w:color w:val="000000"/>
          <w:sz w:val="24"/>
          <w:szCs w:val="24"/>
        </w:rPr>
      </w:pPr>
      <w:r>
        <w:rPr/>
        <w:t>расходы услуги связи;</w:t>
      </w:r>
    </w:p>
    <w:p>
      <w:pPr>
        <w:pStyle w:val="BodyText"/>
        <w:numPr>
          <w:ilvl w:val="0"/>
          <w:numId w:val="18"/>
        </w:numPr>
        <w:jc w:val="both"/>
        <w:rPr>
          <w:color w:val="000000"/>
          <w:sz w:val="24"/>
          <w:szCs w:val="24"/>
        </w:rPr>
      </w:pPr>
      <w:r>
        <w:rPr/>
        <w:t>расходы на транспортные услуги;</w:t>
      </w:r>
    </w:p>
    <w:p>
      <w:pPr>
        <w:pStyle w:val="BodyText"/>
        <w:numPr>
          <w:ilvl w:val="0"/>
          <w:numId w:val="18"/>
        </w:numPr>
        <w:jc w:val="both"/>
        <w:rPr>
          <w:color w:val="000000"/>
          <w:sz w:val="24"/>
          <w:szCs w:val="24"/>
          <w:lang w:val="ru-RU"/>
        </w:rPr>
      </w:pPr>
      <w:r>
        <w:rPr>
          <w:lang w:val="ru-RU"/>
        </w:rPr>
        <w:t>расходы на содержание транспорта, зданий, сооружений и инвентаря общехозяйственного назначения;</w:t>
      </w:r>
    </w:p>
    <w:p>
      <w:pPr>
        <w:pStyle w:val="BodyText"/>
        <w:numPr>
          <w:ilvl w:val="0"/>
          <w:numId w:val="18"/>
        </w:numPr>
        <w:jc w:val="both"/>
        <w:rPr>
          <w:color w:val="000000"/>
          <w:sz w:val="24"/>
          <w:szCs w:val="24"/>
        </w:rPr>
      </w:pPr>
      <w:r>
        <w:rPr/>
        <w:t>на охрану учреждения;</w:t>
      </w:r>
    </w:p>
    <w:p>
      <w:pPr>
        <w:pStyle w:val="BodyText"/>
        <w:numPr>
          <w:ilvl w:val="0"/>
          <w:numId w:val="18"/>
        </w:numPr>
        <w:jc w:val="both"/>
        <w:rPr>
          <w:color w:val="000000"/>
          <w:sz w:val="24"/>
          <w:szCs w:val="24"/>
          <w:lang w:val="ru-RU"/>
        </w:rPr>
      </w:pPr>
      <w:r>
        <w:rPr>
          <w:lang w:val="ru-RU"/>
        </w:rPr>
        <w:t>прочие работы и услуги на общехозяйственные нужды.</w:t>
      </w:r>
    </w:p>
    <w:p>
      <w:pPr>
        <w:pStyle w:val="BodyText"/>
        <w:jc w:val="both"/>
        <w:rPr>
          <w:color w:val="000000"/>
          <w:sz w:val="24"/>
          <w:szCs w:val="24"/>
          <w:lang w:val="ru-RU"/>
        </w:rPr>
      </w:pPr>
      <w:r>
        <w:rPr>
          <w:lang w:val="ru-RU"/>
        </w:rPr>
        <w:t>Общехозяйственные расходы учреждений, произведенные за отчетный период (месяц), распределяются:</w:t>
      </w:r>
    </w:p>
    <w:p>
      <w:pPr>
        <w:pStyle w:val="BodyText"/>
        <w:numPr>
          <w:ilvl w:val="0"/>
          <w:numId w:val="19"/>
        </w:numPr>
        <w:jc w:val="both"/>
        <w:rPr>
          <w:color w:val="000000"/>
          <w:sz w:val="24"/>
          <w:szCs w:val="24"/>
          <w:lang w:val="ru-RU"/>
        </w:rPr>
      </w:pPr>
      <w:r>
        <w:rPr>
          <w:lang w:val="ru-RU"/>
        </w:rPr>
        <w:t>в части распределяемых расходов – на себестоимость, оказанных работ, услуг пропорционально прямым затратам на единицу услуги, работы, продукции;</w:t>
      </w:r>
    </w:p>
    <w:p>
      <w:pPr>
        <w:pStyle w:val="BodyText"/>
        <w:numPr>
          <w:ilvl w:val="0"/>
          <w:numId w:val="19"/>
        </w:numPr>
        <w:jc w:val="both"/>
        <w:rPr>
          <w:color w:val="000000"/>
          <w:sz w:val="24"/>
          <w:szCs w:val="24"/>
          <w:lang w:val="ru-RU"/>
        </w:rPr>
      </w:pPr>
      <w:r>
        <w:rPr>
          <w:lang w:val="ru-RU"/>
        </w:rPr>
        <w:t>в части нераспределяемых расходов – на увеличение расходов текущего финансового года (КБК Х.401.20.000).</w:t>
      </w:r>
    </w:p>
    <w:p>
      <w:pPr>
        <w:pStyle w:val="BodyText"/>
        <w:jc w:val="both"/>
        <w:rPr>
          <w:color w:val="000000"/>
          <w:sz w:val="24"/>
          <w:szCs w:val="24"/>
          <w:lang w:val="ru-RU"/>
        </w:rPr>
      </w:pPr>
      <w:r>
        <w:rPr>
          <w:lang w:val="ru-RU"/>
        </w:rPr>
        <w:t>6.5. Расходами, которые не включаются в себестоимость (нераспределяемые расходы) и сразу списываются на финансовый результат (счет КБК Х.401.20.000), признаются:</w:t>
      </w:r>
    </w:p>
    <w:p>
      <w:pPr>
        <w:pStyle w:val="BodyText"/>
        <w:numPr>
          <w:ilvl w:val="0"/>
          <w:numId w:val="20"/>
        </w:numPr>
        <w:jc w:val="both"/>
        <w:rPr>
          <w:color w:val="000000"/>
          <w:sz w:val="24"/>
          <w:szCs w:val="24"/>
          <w:lang w:val="ru-RU"/>
        </w:rPr>
      </w:pPr>
      <w:r>
        <w:rPr>
          <w:lang w:val="ru-RU"/>
        </w:rPr>
        <w:t>расходы на социальное обеспечение населения;</w:t>
      </w:r>
    </w:p>
    <w:p>
      <w:pPr>
        <w:pStyle w:val="BodyText"/>
        <w:numPr>
          <w:ilvl w:val="0"/>
          <w:numId w:val="20"/>
        </w:numPr>
        <w:jc w:val="both"/>
        <w:rPr>
          <w:color w:val="000000"/>
          <w:sz w:val="24"/>
          <w:szCs w:val="24"/>
        </w:rPr>
      </w:pPr>
      <w:r>
        <w:rPr/>
        <w:t>расходы на транспортный налог;</w:t>
      </w:r>
    </w:p>
    <w:p>
      <w:pPr>
        <w:pStyle w:val="BodyText"/>
        <w:numPr>
          <w:ilvl w:val="0"/>
          <w:numId w:val="20"/>
        </w:numPr>
        <w:jc w:val="both"/>
        <w:rPr>
          <w:color w:val="000000"/>
          <w:sz w:val="24"/>
          <w:szCs w:val="24"/>
          <w:lang w:val="ru-RU"/>
        </w:rPr>
      </w:pPr>
      <w:r>
        <w:rPr>
          <w:lang w:val="ru-RU"/>
        </w:rPr>
        <w:t>расходы на налог на имущество;</w:t>
      </w:r>
    </w:p>
    <w:p>
      <w:pPr>
        <w:pStyle w:val="BodyText"/>
        <w:numPr>
          <w:ilvl w:val="0"/>
          <w:numId w:val="20"/>
        </w:numPr>
        <w:jc w:val="both"/>
        <w:rPr>
          <w:color w:val="000000"/>
          <w:sz w:val="24"/>
          <w:szCs w:val="24"/>
          <w:lang w:val="ru-RU"/>
        </w:rPr>
      </w:pPr>
      <w:r>
        <w:rPr>
          <w:lang w:val="ru-RU"/>
        </w:rPr>
        <w:t>штрафы и пени по налогам, штрафы, пени, неустойки за нарушение условий договоров;</w:t>
      </w:r>
    </w:p>
    <w:p>
      <w:pPr>
        <w:pStyle w:val="BodyText"/>
        <w:numPr>
          <w:ilvl w:val="0"/>
          <w:numId w:val="20"/>
        </w:numPr>
        <w:jc w:val="both"/>
        <w:rPr>
          <w:color w:val="000000"/>
          <w:sz w:val="24"/>
          <w:szCs w:val="24"/>
          <w:lang w:val="ru-RU"/>
        </w:rPr>
      </w:pPr>
      <w:r>
        <w:rPr>
          <w:lang w:val="ru-RU"/>
        </w:rPr>
        <w:t>амортизация по недвижимому и особо ценному движимому имуществу, которое закреплено за учреждением или приобретено за счет средств, выделенных учредителем;</w:t>
      </w:r>
    </w:p>
    <w:p>
      <w:pPr>
        <w:pStyle w:val="BodyText"/>
        <w:jc w:val="both"/>
        <w:rPr>
          <w:color w:val="000000"/>
          <w:sz w:val="24"/>
          <w:szCs w:val="24"/>
          <w:lang w:val="ru-RU"/>
        </w:rPr>
      </w:pPr>
      <w:r>
        <w:rPr>
          <w:lang w:val="ru-RU"/>
        </w:rPr>
        <w:t>6.6. Себестоимость услуг (готовой продукции) за отчетный месяц, сформированная на счете КБК Х.109.60.000, списывается в дебет счета КБК Х.401.10.131 «Доходы от оказания платных услуг (работ)» в последний день месяца.</w:t>
      </w:r>
    </w:p>
    <w:p>
      <w:pPr>
        <w:pStyle w:val="BodyText"/>
        <w:jc w:val="both"/>
        <w:rPr>
          <w:color w:val="000000"/>
          <w:sz w:val="24"/>
          <w:szCs w:val="24"/>
          <w:lang w:val="ru-RU"/>
        </w:rPr>
      </w:pPr>
      <w:r>
        <w:rPr>
          <w:lang w:val="ru-RU"/>
        </w:rPr>
        <w:t>7. Расчеты с подотчетными лицами</w:t>
      </w:r>
    </w:p>
    <w:p>
      <w:pPr>
        <w:pStyle w:val="BodyText"/>
        <w:jc w:val="both"/>
        <w:rPr>
          <w:color w:val="000000"/>
        </w:rPr>
      </w:pPr>
      <w:r>
        <w:rPr>
          <w:color w:val="000000"/>
          <w:lang w:val="ru-RU"/>
        </w:rPr>
        <w:t xml:space="preserve">7.1. Учреждения выдают денежные средства под отчет, в том числе для поездок в служебные командировки, в соответствии с </w:t>
      </w:r>
      <w:r>
        <w:rPr>
          <w:rFonts w:eastAsia="Times New Roman" w:cs="Times New Roman"/>
          <w:color w:val="000000"/>
          <w:kern w:val="0"/>
          <w:sz w:val="22"/>
          <w:szCs w:val="22"/>
          <w:lang w:val="ru-RU" w:eastAsia="en-US" w:bidi="ar-SA"/>
        </w:rPr>
        <w:t>положением о расчетах с подотчетными лицами Приложение 11.</w:t>
      </w:r>
    </w:p>
    <w:p>
      <w:pPr>
        <w:pStyle w:val="BodyText"/>
        <w:jc w:val="both"/>
        <w:rPr>
          <w:b/>
          <w:color w:val="000000"/>
          <w:sz w:val="24"/>
          <w:szCs w:val="24"/>
          <w:lang w:val="ru-RU"/>
        </w:rPr>
      </w:pPr>
      <w:r>
        <w:rPr>
          <w:color w:val="000000"/>
          <w:lang w:val="ru-RU"/>
        </w:rPr>
        <w:t>7.2. При направлении сотрудников учреждения в служебные командировки расходы на них возмещаются в размере, установленном каждым учреждением в порядке оформления служебных командировок.</w:t>
      </w:r>
      <w:r>
        <w:rPr>
          <w:color w:val="000000"/>
          <w:sz w:val="24"/>
          <w:szCs w:val="24"/>
          <w:lang w:val="ru-RU"/>
        </w:rPr>
        <w:t xml:space="preserve"> </w:t>
      </w:r>
      <w:r>
        <w:rPr>
          <w:b w:val="false"/>
          <w:bCs w:val="false"/>
          <w:color w:val="000000"/>
          <w:sz w:val="22"/>
          <w:szCs w:val="22"/>
          <w:lang w:val="ru-RU"/>
        </w:rPr>
        <w:t>Приложение 1</w:t>
      </w:r>
      <w:r>
        <w:rPr>
          <w:rFonts w:eastAsia="Times New Roman" w:cs="Times New Roman"/>
          <w:b w:val="false"/>
          <w:bCs w:val="false"/>
          <w:color w:val="000000"/>
          <w:kern w:val="0"/>
          <w:sz w:val="22"/>
          <w:szCs w:val="22"/>
          <w:lang w:val="ru-RU" w:eastAsia="en-US" w:bidi="ar-SA"/>
        </w:rPr>
        <w:t>2</w:t>
      </w:r>
      <w:r>
        <w:rPr>
          <w:b w:val="false"/>
          <w:bCs w:val="false"/>
          <w:color w:val="000000"/>
          <w:sz w:val="22"/>
          <w:szCs w:val="22"/>
          <w:lang w:val="ru-RU"/>
        </w:rPr>
        <w:t>.</w:t>
      </w:r>
    </w:p>
    <w:p>
      <w:pPr>
        <w:pStyle w:val="BodyText"/>
        <w:jc w:val="both"/>
        <w:rPr>
          <w:color w:val="000000"/>
          <w:sz w:val="24"/>
          <w:szCs w:val="24"/>
          <w:lang w:val="ru-RU"/>
        </w:rPr>
      </w:pPr>
      <w:r>
        <w:rPr>
          <w:lang w:val="ru-RU"/>
        </w:rPr>
        <w:t>8. Расчеты с дебиторами и кредиторами</w:t>
      </w:r>
    </w:p>
    <w:p>
      <w:pPr>
        <w:pStyle w:val="BodyText"/>
        <w:jc w:val="both"/>
        <w:rPr>
          <w:color w:val="000000"/>
          <w:sz w:val="24"/>
          <w:szCs w:val="24"/>
          <w:lang w:val="ru-RU"/>
        </w:rPr>
      </w:pPr>
      <w:r>
        <w:rPr>
          <w:lang w:val="ru-RU"/>
        </w:rPr>
        <w:t xml:space="preserve">8.1. </w:t>
      </w:r>
      <w:r>
        <w:rPr>
          <w:lang w:val="ru-RU"/>
        </w:rPr>
        <w:t xml:space="preserve">Поступление денежных средств от виновного лица в погашение ущерба, причиненного финансовыми активами, отражается по коду финансового обеспечения (деятельности) в казенных учреждениях по коду вида деятельности «1»  путем перечисления в доход бюджета. </w:t>
      </w:r>
      <w:r>
        <w:rPr>
          <w:lang w:val="ru-RU"/>
        </w:rPr>
        <w:t>В бюджетных и автономных учреждениях денежные средства, поступившие  от виновных лиц в возмещение ущерба, причиненного нефинансовым активам, отражаются по коду вида деятельности «2» – приносящая доход деятельность (собственные доходы учреждения).</w:t>
      </w:r>
    </w:p>
    <w:p>
      <w:pPr>
        <w:pStyle w:val="BodyText"/>
        <w:jc w:val="both"/>
        <w:rPr>
          <w:color w:val="000000"/>
          <w:sz w:val="24"/>
          <w:szCs w:val="24"/>
          <w:lang w:val="ru-RU"/>
        </w:rPr>
      </w:pPr>
      <w:r>
        <w:rPr>
          <w:lang w:val="ru-RU"/>
        </w:rPr>
        <w:t>Возмещение в натуральной форме ущерба, причиненного нефинансовым активам, отражается по коду вида финансового обеспечения (деятельности), по которому активы учитывались.</w:t>
      </w:r>
    </w:p>
    <w:p>
      <w:pPr>
        <w:pStyle w:val="BodyText"/>
        <w:jc w:val="both"/>
        <w:rPr>
          <w:color w:val="000000"/>
        </w:rPr>
      </w:pPr>
      <w:r>
        <w:rPr>
          <w:color w:val="000000"/>
          <w:lang w:val="ru-RU"/>
        </w:rPr>
        <w:t>8.2. Задолженность дебиторов в виде возмещения эксплуатационных и коммунальных расходов отражается в учете на основании выставленного арендатору счета, счетов поставщиков (подрядчиков), Бухгалтерской справки (ф. 0504833).</w:t>
      </w:r>
    </w:p>
    <w:p>
      <w:pPr>
        <w:pStyle w:val="BodyText"/>
        <w:jc w:val="both"/>
        <w:rPr>
          <w:color w:val="000000"/>
        </w:rPr>
      </w:pPr>
      <w:r>
        <w:rPr>
          <w:color w:val="000000"/>
          <w:lang w:val="ru-RU"/>
        </w:rPr>
        <w:t>8.3 Задолженность дебиторов по штрафам, пеням, иным санкциям, предусмотренных контрактом (договором, соглашением) который заключен согласно Федеральному закону от 05.04.2013 № 44-ФЗ; от 18.07.2011 № 223-ФЗ, отражается в учете на дату возникновения права соответствующего требования по контракту(договору, соглашению) на основании бухгалтерской справки и с приложением обоснованного расчета. В случае если контрагент не согласен с предъявленным требованием, оспариваемая задолженность отражается в составе доходов будущих периодов. По факту определения судом размера соответствующих платежей на основании вступившего в силу судебного акта данная сумма со счета учета доходов будущих периодов относится на доходы текущего периода, а разница списывается на уменьшение ранее отраженной дебиторской задолженности.</w:t>
      </w:r>
    </w:p>
    <w:p>
      <w:pPr>
        <w:pStyle w:val="BodyText"/>
        <w:jc w:val="both"/>
        <w:rPr>
          <w:color w:val="000000"/>
        </w:rPr>
      </w:pPr>
      <w:r>
        <w:rPr>
          <w:color w:val="000000"/>
          <w:lang w:val="ru-RU"/>
        </w:rPr>
        <w:t>Основание: п.34 СГС «Доходы»</w:t>
      </w:r>
    </w:p>
    <w:p>
      <w:pPr>
        <w:pStyle w:val="BodyText"/>
        <w:jc w:val="both"/>
        <w:rPr>
          <w:color w:val="000000"/>
        </w:rPr>
      </w:pPr>
      <w:r>
        <w:rPr>
          <w:color w:val="000000"/>
          <w:lang w:val="ru-RU"/>
        </w:rPr>
        <w:t>8.4 Задолженность дебиторов по предъявленным к ним штрафам, пеням, иным санкциям по договорам, заключенным не в рамках контрактной системы, отражается в учете при признании задолженности дебитором или в момент вступления в законную сулу решения суда об их взыскании.</w:t>
      </w:r>
    </w:p>
    <w:p>
      <w:pPr>
        <w:pStyle w:val="BodyText"/>
        <w:jc w:val="both"/>
        <w:rPr>
          <w:color w:val="000000"/>
        </w:rPr>
      </w:pPr>
      <w:r>
        <w:rPr>
          <w:color w:val="000000"/>
          <w:lang w:val="ru-RU"/>
        </w:rPr>
        <w:t>Основание п.9 СГС «Учетная политика, оценочные значения и ошибки».</w:t>
      </w:r>
    </w:p>
    <w:p>
      <w:pPr>
        <w:pStyle w:val="BodyText"/>
        <w:jc w:val="both"/>
        <w:rPr>
          <w:color w:val="000000"/>
        </w:rPr>
      </w:pPr>
      <w:r>
        <w:rPr>
          <w:color w:val="000000"/>
          <w:lang w:val="ru-RU"/>
        </w:rPr>
        <w:t>8.5 На суммы изменений показателей счета 0 210 06 000 учредителю направляется извещение (ф.0504805)</w:t>
      </w:r>
    </w:p>
    <w:p>
      <w:pPr>
        <w:pStyle w:val="BodyText"/>
        <w:jc w:val="both"/>
        <w:rPr>
          <w:color w:val="000000"/>
        </w:rPr>
      </w:pPr>
      <w:r>
        <w:rPr>
          <w:color w:val="000000"/>
          <w:sz w:val="24"/>
          <w:szCs w:val="24"/>
          <w:lang w:val="ru-RU"/>
        </w:rPr>
        <w:t>Основание п.9 СГС «Учетная политика, оценочные значения и ошибки».</w:t>
      </w:r>
    </w:p>
    <w:p>
      <w:pPr>
        <w:pStyle w:val="BodyText"/>
        <w:jc w:val="both"/>
        <w:rPr>
          <w:color w:val="000000"/>
          <w:sz w:val="24"/>
          <w:szCs w:val="24"/>
          <w:lang w:val="ru-RU"/>
        </w:rPr>
      </w:pPr>
      <w:r>
        <w:rPr>
          <w:lang w:val="ru-RU"/>
        </w:rPr>
        <w:t>9. Расчеты по обязательствам</w:t>
      </w:r>
    </w:p>
    <w:p>
      <w:pPr>
        <w:pStyle w:val="BodyText"/>
        <w:jc w:val="both"/>
        <w:rPr>
          <w:color w:val="000000"/>
          <w:sz w:val="24"/>
          <w:szCs w:val="24"/>
          <w:lang w:val="ru-RU"/>
        </w:rPr>
      </w:pPr>
      <w:r>
        <w:rPr>
          <w:lang w:val="ru-RU"/>
        </w:rPr>
        <w:t>9.1. Аналитический учет расчетов по пособиям и иным социальным выплатам ведется в разрезе физических лиц – получателей социальных выплат.</w:t>
      </w:r>
    </w:p>
    <w:p>
      <w:pPr>
        <w:pStyle w:val="BodyText"/>
        <w:jc w:val="both"/>
        <w:rPr>
          <w:lang w:val="ru-RU"/>
        </w:rPr>
      </w:pPr>
      <w:r>
        <w:rPr>
          <w:lang w:val="ru-RU"/>
        </w:rPr>
        <w:t>9.2. Аналитический учет расчетов по оплате труда ведется в разрезе сотрудников и других физических лиц, с которыми заключены гражданско-правовые договоры.</w:t>
      </w:r>
    </w:p>
    <w:p>
      <w:pPr>
        <w:pStyle w:val="BodyText"/>
        <w:jc w:val="both"/>
        <w:rPr>
          <w:lang w:val="ru-RU"/>
        </w:rPr>
      </w:pPr>
      <w:r>
        <w:rPr>
          <w:color w:val="000000"/>
          <w:lang w:val="ru-RU"/>
        </w:rPr>
        <w:t>9.3 Порядок принятия обязательств  согласно П</w:t>
      </w:r>
      <w:r>
        <w:rPr>
          <w:b w:val="false"/>
          <w:bCs w:val="false"/>
          <w:color w:val="000000"/>
          <w:lang w:val="ru-RU"/>
        </w:rPr>
        <w:t>риложению  8.</w:t>
      </w:r>
    </w:p>
    <w:p>
      <w:pPr>
        <w:pStyle w:val="BodyText"/>
        <w:jc w:val="both"/>
        <w:rPr>
          <w:color w:val="000000"/>
          <w:sz w:val="24"/>
          <w:szCs w:val="24"/>
          <w:lang w:val="ru-RU"/>
        </w:rPr>
      </w:pPr>
      <w:r>
        <w:rPr>
          <w:lang w:val="ru-RU"/>
        </w:rPr>
        <w:t>10. Дебиторская и кредиторская задолженность</w:t>
      </w:r>
    </w:p>
    <w:p>
      <w:pPr>
        <w:pStyle w:val="BodyText"/>
        <w:jc w:val="both"/>
        <w:rPr>
          <w:color w:val="000000"/>
          <w:sz w:val="24"/>
          <w:szCs w:val="24"/>
          <w:lang w:val="ru-RU"/>
        </w:rPr>
      </w:pPr>
      <w:r>
        <w:rPr>
          <w:lang w:val="ru-RU"/>
        </w:rPr>
        <w:t>10.1. Дебиторская задолженность списывается с учета после того, как комиссия учреждения по поступлению и выбытию активов признает ее сомнительной или безнадежной к взысканию в порядке, утвержденно</w:t>
      </w:r>
      <w:r>
        <w:rPr>
          <w:color w:val="000000"/>
          <w:lang w:val="ru-RU"/>
        </w:rPr>
        <w:t xml:space="preserve">м Положением о признании дебиторской задолженности сомнительной и безнадежной к взысканию </w:t>
      </w:r>
      <w:r>
        <w:rPr>
          <w:b w:val="false"/>
          <w:bCs w:val="false"/>
          <w:color w:val="000000"/>
          <w:lang w:val="ru-RU" w:eastAsia="en-US"/>
        </w:rPr>
        <w:t>П</w:t>
      </w:r>
      <w:r>
        <w:rPr>
          <w:b w:val="false"/>
          <w:bCs w:val="false"/>
          <w:color w:val="000000"/>
          <w:lang w:val="ru-RU"/>
        </w:rPr>
        <w:t>риложение10</w:t>
      </w:r>
      <w:r>
        <w:rPr>
          <w:lang w:val="ru-RU"/>
        </w:rPr>
        <w:br/>
        <w:t xml:space="preserve"> Основание: пункт 339 Инструкции к Единому плану счетов № 157н, пункт 11 СГС «Доходы».</w:t>
      </w:r>
    </w:p>
    <w:p>
      <w:pPr>
        <w:pStyle w:val="BodyText"/>
        <w:jc w:val="both"/>
        <w:rPr>
          <w:color w:val="000000"/>
          <w:sz w:val="24"/>
          <w:szCs w:val="24"/>
          <w:lang w:val="ru-RU"/>
        </w:rPr>
      </w:pPr>
      <w:r>
        <w:rPr>
          <w:lang w:val="ru-RU"/>
        </w:rPr>
        <w:t>10.2. Кредиторская задолженность, не востребованная кредитором, списывается на финансовый результат на основании решения инвентаризационной комиссии о признании задолженности невостребованной. Одновременно списанная с балансового учета кредиторская задолженность отражается на забалансовом счете 20 «Задолженность, не востребованная кредиторами».</w:t>
      </w:r>
    </w:p>
    <w:p>
      <w:pPr>
        <w:pStyle w:val="BodyText"/>
        <w:jc w:val="both"/>
        <w:rPr>
          <w:color w:val="000000"/>
          <w:sz w:val="24"/>
          <w:szCs w:val="24"/>
          <w:lang w:val="ru-RU"/>
        </w:rPr>
      </w:pPr>
      <w:r>
        <w:rPr>
          <w:lang w:val="ru-RU"/>
        </w:rPr>
        <w:t>С забалансового учета задолженность списывается на основании решения инвентаризационной комиссии учреждения:</w:t>
        <w:br/>
        <w:t xml:space="preserve"> – по истечении пяти лет отражения задолженности на забалансовом учете;</w:t>
        <w:br/>
        <w:t xml:space="preserve"> – по завершении срока возможного возобновления процедуры взыскания задолженности согласно действующему законодательству;</w:t>
        <w:br/>
        <w:t xml:space="preserve"> – при наличии документов, подтверждающих прекращение обязательства в связи со смертью (ликвидацией) контрагента.</w:t>
      </w:r>
    </w:p>
    <w:p>
      <w:pPr>
        <w:pStyle w:val="BodyText"/>
        <w:jc w:val="both"/>
        <w:rPr>
          <w:color w:val="000000"/>
          <w:sz w:val="24"/>
          <w:szCs w:val="24"/>
          <w:lang w:val="ru-RU"/>
        </w:rPr>
      </w:pPr>
      <w:r>
        <w:rPr>
          <w:lang w:val="ru-RU"/>
        </w:rPr>
        <w:t>Основание: пункты 371, 372 Инструкции к Единому плану счетов № 157н.</w:t>
      </w:r>
    </w:p>
    <w:p>
      <w:pPr>
        <w:pStyle w:val="BodyText"/>
        <w:jc w:val="both"/>
        <w:rPr>
          <w:color w:val="000000"/>
          <w:sz w:val="24"/>
          <w:szCs w:val="24"/>
          <w:lang w:val="ru-RU"/>
        </w:rPr>
      </w:pPr>
      <w:r>
        <w:rPr>
          <w:lang w:val="ru-RU"/>
        </w:rPr>
        <w:t>11. Финансовый результат</w:t>
      </w:r>
    </w:p>
    <w:p>
      <w:pPr>
        <w:pStyle w:val="BodyText"/>
        <w:jc w:val="both"/>
        <w:rPr>
          <w:color w:val="000000"/>
          <w:sz w:val="24"/>
          <w:szCs w:val="24"/>
          <w:lang w:val="ru-RU"/>
        </w:rPr>
      </w:pPr>
      <w:r>
        <w:rPr>
          <w:lang w:val="ru-RU"/>
        </w:rPr>
        <w:t>11.1. Доходы от предоставления права пользования активом (арендная плата) признаются доходами текущего финансового года с одновременным уменьшением предстоящих доходов равномерно (ежемесячно) на протяжении срока пользования объектом учета аренды.</w:t>
        <w:br/>
        <w:t xml:space="preserve"> Основание: пункт 25 СГС «Аренда», подпункт «а» пункта 55 СГС «Доходы».</w:t>
      </w:r>
    </w:p>
    <w:p>
      <w:pPr>
        <w:pStyle w:val="BodyText"/>
        <w:jc w:val="both"/>
        <w:rPr>
          <w:color w:val="000000"/>
          <w:sz w:val="24"/>
          <w:szCs w:val="24"/>
          <w:lang w:val="ru-RU"/>
        </w:rPr>
      </w:pPr>
      <w:r>
        <w:rPr>
          <w:lang w:val="ru-RU"/>
        </w:rPr>
        <w:t xml:space="preserve">11.2. В случае заключения договора аренды на неопределенный срок, </w:t>
      </w:r>
      <w:r>
        <w:rPr/>
        <w:t> </w:t>
      </w:r>
      <w:r>
        <w:rPr>
          <w:lang w:val="ru-RU"/>
        </w:rPr>
        <w:t>объекты учета, в том числе доходы и расходы будущих периодов, рассчитываются по принципу допущения непрерывности деятельности учреждения, принимая во внимание период бюджетного цикла три года</w:t>
      </w:r>
      <w:r>
        <w:rPr/>
        <w:t> </w:t>
      </w:r>
      <w:r>
        <w:rPr>
          <w:lang w:val="ru-RU"/>
        </w:rPr>
        <w:t>и размер арендных платежей, указанный в договоре.</w:t>
      </w:r>
    </w:p>
    <w:p>
      <w:pPr>
        <w:pStyle w:val="BodyText"/>
        <w:jc w:val="both"/>
        <w:rPr>
          <w:lang w:val="ru-RU"/>
        </w:rPr>
      </w:pPr>
      <w:r>
        <w:rPr>
          <w:lang w:val="ru-RU"/>
        </w:rPr>
        <w:t>11.3. Доходы от оказания платных услуг по долгосрочным договорам, срок исполнения которых превышает один год, признаются в учете в составе доходов будущих периодов в сумме договора. Доходы будущих периодов признаются в текущих доходах равномерно,  в последний день каждого месяца,  в разрезе каждого договора. Аналогичный порядок признания доходов в текущем периоде применяется к договорам, в соответствии с которыми услуги оказываются неравномерно.</w:t>
        <w:br/>
        <w:t xml:space="preserve"> Основание: пункт 301 Инструкции к Единому плану счетов № 157н, пункт 11 СГС «Долгосрочные договоры».</w:t>
      </w:r>
    </w:p>
    <w:p>
      <w:pPr>
        <w:pStyle w:val="BodyText"/>
        <w:jc w:val="both"/>
        <w:rPr>
          <w:lang w:val="ru-RU"/>
        </w:rPr>
      </w:pPr>
      <w:r>
        <w:rPr>
          <w:lang w:val="ru-RU"/>
        </w:rPr>
        <w:t>11.4. В отношении платных услуг, по которым срок действия договора менее года, а даты начала и окончания исполнения договора приходятся на разные отчетные годы, учреждение применяет положения СГС«Долгосрочные договоры».</w:t>
        <w:br/>
        <w:t xml:space="preserve"> Основание: пункт 5 СГС «Долгосрочные договоры».</w:t>
      </w:r>
    </w:p>
    <w:p>
      <w:pPr>
        <w:pStyle w:val="BodyText"/>
        <w:jc w:val="both"/>
        <w:rPr>
          <w:lang w:val="ru-RU"/>
        </w:rPr>
      </w:pPr>
      <w:r>
        <w:rPr>
          <w:lang w:val="ru-RU"/>
        </w:rPr>
        <w:t>11.5.</w:t>
      </w:r>
      <w:r>
        <w:rPr>
          <w:lang w:val="ru-RU"/>
        </w:rPr>
        <w:t>Доходы от субсидий, субвенций, муниципальных заданий, целевых субсидий, субсидии на цели осуществления кап.вложений по соглашению, заключенному на срок более года учреждение отражает на счетах:</w:t>
      </w:r>
    </w:p>
    <w:p>
      <w:pPr>
        <w:pStyle w:val="BodyText"/>
        <w:jc w:val="both"/>
        <w:rPr>
          <w:lang w:val="ru-RU"/>
        </w:rPr>
      </w:pPr>
      <w:r>
        <w:rPr>
          <w:lang w:val="ru-RU"/>
        </w:rPr>
        <w:t>- 401.41.000 «Доходы будущих периодов к признанию в текущем году»;</w:t>
      </w:r>
    </w:p>
    <w:p>
      <w:pPr>
        <w:pStyle w:val="BodyText"/>
        <w:jc w:val="both"/>
        <w:rPr>
          <w:lang w:val="ru-RU"/>
        </w:rPr>
      </w:pPr>
      <w:r>
        <w:rPr>
          <w:lang w:val="ru-RU"/>
        </w:rPr>
        <w:t>- 401.49.000 « Доходы будущих периодов к признанию в очередные годы».</w:t>
      </w:r>
    </w:p>
    <w:p>
      <w:pPr>
        <w:pStyle w:val="BodyText"/>
        <w:jc w:val="both"/>
        <w:rPr>
          <w:lang w:val="ru-RU"/>
        </w:rPr>
      </w:pPr>
      <w:r>
        <w:rPr>
          <w:lang w:val="ru-RU"/>
        </w:rPr>
        <w:t>11.</w:t>
      </w:r>
      <w:r>
        <w:rPr>
          <w:lang w:val="ru-RU"/>
        </w:rPr>
        <w:t>6</w:t>
      </w:r>
      <w:r>
        <w:rPr>
          <w:lang w:val="ru-RU"/>
        </w:rPr>
        <w:t xml:space="preserve"> В составе расходов будущих периодов на счете КБК Х.401.50.000 «Расходы будущих периодов» отражаются:</w:t>
      </w:r>
    </w:p>
    <w:p>
      <w:pPr>
        <w:pStyle w:val="BodyText"/>
        <w:numPr>
          <w:ilvl w:val="0"/>
          <w:numId w:val="21"/>
        </w:numPr>
        <w:jc w:val="both"/>
        <w:rPr>
          <w:color w:val="000000"/>
          <w:sz w:val="24"/>
          <w:szCs w:val="24"/>
          <w:lang w:val="ru-RU"/>
        </w:rPr>
      </w:pPr>
      <w:r>
        <w:rPr>
          <w:lang w:val="ru-RU"/>
        </w:rPr>
        <w:t>расходы на страхование имущества, гражданской ответственности;</w:t>
      </w:r>
    </w:p>
    <w:p>
      <w:pPr>
        <w:pStyle w:val="BodyText"/>
        <w:numPr>
          <w:ilvl w:val="0"/>
          <w:numId w:val="21"/>
        </w:numPr>
        <w:jc w:val="both"/>
        <w:rPr>
          <w:color w:val="000000"/>
          <w:sz w:val="24"/>
          <w:szCs w:val="24"/>
          <w:lang w:val="ru-RU"/>
        </w:rPr>
      </w:pPr>
      <w:r>
        <w:rPr>
          <w:lang w:val="ru-RU"/>
        </w:rPr>
        <w:t>отпускные, если сотрудник не отработал период, за который предоставили отпуск;</w:t>
      </w:r>
    </w:p>
    <w:p>
      <w:pPr>
        <w:pStyle w:val="BodyText"/>
        <w:numPr>
          <w:ilvl w:val="0"/>
          <w:numId w:val="21"/>
        </w:numPr>
        <w:jc w:val="both"/>
        <w:rPr>
          <w:color w:val="000000"/>
          <w:sz w:val="24"/>
          <w:szCs w:val="24"/>
          <w:lang w:val="ru-RU"/>
        </w:rPr>
      </w:pPr>
      <w:r>
        <w:rPr>
          <w:lang w:val="ru-RU"/>
        </w:rPr>
        <w:t>плата за сертификат ключа ЭЦП;</w:t>
      </w:r>
    </w:p>
    <w:p>
      <w:pPr>
        <w:pStyle w:val="BodyText"/>
        <w:jc w:val="both"/>
        <w:rPr>
          <w:color w:val="000000"/>
          <w:sz w:val="24"/>
          <w:szCs w:val="24"/>
          <w:lang w:val="ru-RU"/>
        </w:rPr>
      </w:pPr>
      <w:r>
        <w:rPr>
          <w:lang w:val="ru-RU"/>
        </w:rPr>
        <w:t>Расходы будущих периодов списываются на финансовый результат текущего финансового года равномерно по 1/12  за месяц в течение периода, к которому они относятся.</w:t>
      </w:r>
    </w:p>
    <w:p>
      <w:pPr>
        <w:pStyle w:val="BodyText"/>
        <w:jc w:val="both"/>
        <w:rPr>
          <w:color w:val="FF0000"/>
          <w:sz w:val="24"/>
          <w:szCs w:val="24"/>
          <w:lang w:val="ru-RU"/>
        </w:rPr>
      </w:pPr>
      <w:r>
        <w:rPr>
          <w:lang w:val="ru-RU"/>
        </w:rPr>
        <w:t>По договорам страхования пери</w:t>
      </w:r>
      <w:r>
        <w:rPr>
          <w:color w:val="000000"/>
          <w:lang w:val="ru-RU"/>
        </w:rPr>
        <w:t>од, к которому относятся расходы, равен сроку действия договора. По другим расходам, которые относятся к будущим периодам, длительность периода устанавливается руководителем учреждения в приказе.</w:t>
      </w:r>
    </w:p>
    <w:p>
      <w:pPr>
        <w:pStyle w:val="BodyText"/>
        <w:jc w:val="both"/>
        <w:rPr>
          <w:color w:val="000000"/>
          <w:sz w:val="24"/>
          <w:szCs w:val="24"/>
          <w:lang w:val="ru-RU"/>
        </w:rPr>
      </w:pPr>
      <w:r>
        <w:rPr>
          <w:lang w:val="ru-RU"/>
        </w:rPr>
        <w:t>Основание: пункты 302, 302.1 Инструкции к Единому плану счетов № 157н.</w:t>
      </w:r>
    </w:p>
    <w:p>
      <w:pPr>
        <w:pStyle w:val="BodyText"/>
        <w:jc w:val="both"/>
        <w:rPr>
          <w:color w:val="000000"/>
          <w:sz w:val="24"/>
          <w:szCs w:val="24"/>
          <w:lang w:val="ru-RU"/>
        </w:rPr>
      </w:pPr>
      <w:r>
        <w:rPr>
          <w:lang w:val="ru-RU"/>
        </w:rPr>
        <w:t>11.</w:t>
      </w:r>
      <w:r>
        <w:rPr>
          <w:color w:val="00000A"/>
          <w:lang w:val="ru-RU" w:eastAsia="en-US"/>
        </w:rPr>
        <w:t>7</w:t>
      </w:r>
      <w:r>
        <w:rPr>
          <w:lang w:val="ru-RU"/>
        </w:rPr>
        <w:t>. В учреждениях создаются:</w:t>
      </w:r>
    </w:p>
    <w:p>
      <w:pPr>
        <w:pStyle w:val="BodyText"/>
        <w:jc w:val="both"/>
        <w:rPr>
          <w:color w:val="FF0000"/>
          <w:lang w:val="ru-RU"/>
        </w:rPr>
      </w:pPr>
      <w:r>
        <w:rPr>
          <w:lang w:val="ru-RU"/>
        </w:rPr>
        <w:t xml:space="preserve">– </w:t>
      </w:r>
      <w:r>
        <w:rPr>
          <w:lang w:val="ru-RU"/>
        </w:rPr>
        <w:t>резерв расходов по выплатам персоналу, который рассчитывается за фактически отработанное время работником, ежегодно, на конец отчетного периода, исходя из данных количества дней неиспользованного отпуска по всем сотрудникам на указанную дату. Резерв при этом рассчитывается персонифицировано, по каждому сотруднику, ежегодно, как сумма оплаты отпусков работникам за фактически отработанное время, на дату расчета и сумм страховых взносов. Данные о количестве дней неиспользованного отпуска предоставляет ответственный за ведение трудовых книжек. Сумма резерва отраженная в бухгалтерском учете до отчетной даты, корректируется до величины вновь рассчитанного резерва в сторону уменьшения- проводками, оформленными методом «красное сторно».;</w:t>
        <w:br/>
        <w:t xml:space="preserve"> – резерв по искам, претензионным требованиям – в случае, когда учреждение является стороной судебного разбирательства. Величина резерва устанавливается в размере претензии, предъявленной учреждению в судебном иске</w:t>
      </w:r>
      <w:r>
        <w:rPr/>
        <w:t> </w:t>
      </w:r>
      <w:r>
        <w:rPr>
          <w:lang w:val="ru-RU"/>
        </w:rPr>
        <w:t>либо в претензионных документах досудебного разбирательства. В случае, если претензии отозваны или не признаны судом, сумма резерва списывается с учета методом «красное сторно»;</w:t>
      </w:r>
    </w:p>
    <w:p>
      <w:pPr>
        <w:pStyle w:val="BodyText"/>
        <w:jc w:val="both"/>
        <w:rPr>
          <w:color w:val="FF0000"/>
          <w:lang w:val="ru-RU"/>
        </w:rPr>
      </w:pPr>
      <w:r>
        <w:rPr>
          <w:lang w:val="ru-RU"/>
        </w:rPr>
        <w:t>-</w:t>
      </w:r>
      <w:r>
        <w:rPr>
          <w:lang w:val="ru-RU"/>
        </w:rPr>
        <w:t>р</w:t>
      </w:r>
      <w:r>
        <w:rPr>
          <w:rFonts w:cs="Times New Roman"/>
          <w:color w:val="000000"/>
          <w:sz w:val="24"/>
          <w:szCs w:val="24"/>
          <w:lang w:val="ru-RU"/>
        </w:rPr>
        <w:t>езерв по обязательствам, возникающим при поступлении товаров, работ,</w:t>
      </w:r>
      <w:r>
        <w:rPr>
          <w:lang w:val="ru-RU"/>
        </w:rPr>
        <w:br/>
      </w:r>
      <w:r>
        <w:rPr>
          <w:rFonts w:cs="Times New Roman"/>
          <w:color w:val="000000"/>
          <w:sz w:val="24"/>
          <w:szCs w:val="24"/>
          <w:lang w:val="ru-RU"/>
        </w:rPr>
        <w:t>услуг, закупка которых осуществляется через ЕИС в сфере закупок, создается, если фактическая приемка осуществляется ранее размещения (подписания) в ЕИС документа о приемке поставленного товара (переданного результата работ, оказанной услуги).</w:t>
      </w:r>
      <w:r>
        <w:rPr>
          <w:rFonts w:cs="Times New Roman"/>
          <w:color w:val="000000"/>
          <w:sz w:val="24"/>
          <w:szCs w:val="24"/>
        </w:rPr>
        <w:t>Датой признания резерва в бухгалтерском учете является дата фактической поставки товара (выполнения работ, оказания услуг).Резерв отражается по кредиту соответствующих счетов аналитического учета счета 0 401 60 000 «Резервы предстоящих расходов» с одновременным отражением суммы отложенного обязательства на соответствующем счете аналитического учета счета 0 502 99 000 «Отложенные обязательства» на основании полученных от контрагента первичных документов (накладных, актов, УПД) и решения комиссии учреждения (ф. 0510441).</w:t>
      </w:r>
    </w:p>
    <w:p>
      <w:pPr>
        <w:pStyle w:val="BodyText"/>
        <w:jc w:val="both"/>
        <w:rPr>
          <w:color w:val="FF0000"/>
          <w:lang w:val="ru-RU"/>
        </w:rPr>
      </w:pPr>
      <w:r>
        <w:rPr>
          <w:rFonts w:cs="Times New Roman"/>
          <w:color w:val="000000"/>
          <w:sz w:val="24"/>
          <w:szCs w:val="24"/>
          <w:lang w:val="ru-RU"/>
        </w:rPr>
        <w:t>Резерв списывается после подписания в ЕИС документа о приемке — при признании затрат и (или) при признании кредиторской задолженности по выполнению обязательства, по которому резерв был создан. Уточнение ранее сформированного резерва отражается на дату его расчета дополнительной бухгалтерской записью (увеличение резерва). В случае избыточности суммы признанного резерва или в случае прекращения выполнения условий признания резерва, неиспользованная сумма резерва списывается с отнесением на уменьшение расходов (финансового результата) текущего периода (уменьшение резерва).</w:t>
      </w:r>
      <w:r>
        <w:rPr>
          <w:lang w:val="ru-RU"/>
        </w:rPr>
        <w:br/>
      </w:r>
      <w:r>
        <w:rPr>
          <w:color w:val="000000"/>
          <w:lang w:val="ru-RU"/>
        </w:rPr>
        <w:t>–</w:t>
      </w:r>
      <w:r>
        <w:rPr>
          <w:color w:val="000000"/>
        </w:rPr>
        <w:t> </w:t>
      </w:r>
      <w:r>
        <w:rPr>
          <w:color w:val="000000"/>
          <w:lang w:val="ru-RU"/>
        </w:rPr>
        <w:t>резерв по гарантийному ремонту. Определяется на текущий год в первый рабочий день года на основе плановых показателей годовой выручки от реализации подлежащих гарантийному ремонту изделий. Величина резерва равна доле фактических расходов на гарантийный ремонт за предшествующие три года в объеме выручки за предшествующие три года.</w:t>
      </w:r>
    </w:p>
    <w:p>
      <w:pPr>
        <w:pStyle w:val="BodyText"/>
        <w:jc w:val="both"/>
        <w:rPr>
          <w:color w:val="000000"/>
        </w:rPr>
      </w:pPr>
      <w:r>
        <w:rPr>
          <w:color w:val="000000"/>
          <w:lang w:val="ru-RU"/>
        </w:rPr>
        <w:t>-резерв на демонтаж основных средств создается в случае, когда по договору (соглашению) или по законодательсту учреждение обязано заплатить за разборку и утилизацию основного средства и восстановить участок, на котором был расположен объект. Величина резерва устанавливается на основании расчета планового отдела о предполагаемых затратах на утилизацию объекта и восстановление участка.</w:t>
      </w:r>
    </w:p>
    <w:p>
      <w:pPr>
        <w:pStyle w:val="BodyText"/>
        <w:jc w:val="both"/>
        <w:rPr>
          <w:lang w:val="ru-RU"/>
        </w:rPr>
      </w:pPr>
      <w:r>
        <w:rPr>
          <w:color w:val="000000"/>
          <w:lang w:val="ru-RU"/>
        </w:rPr>
        <w:t xml:space="preserve">- резерв на оплату обязательств, по которым нет документов, создается в последний рабочий день отчетного квартала в случае, когда на этот день в бухгалтерию не поступили первичные документы от контрагентов. Сумма резерва устанавливается на основании расчета планового отдела. Расчет производится на основании данных о фактически оказанных услугах, выполненных работах или поставленных товарах. Резерв по сомнительным долгам отражается на забалансовом счете 04 и равен сумме числящейся на нем дебиторской задолженности. На балансовых счетах резерв не отражается. </w:t>
      </w:r>
      <w:r>
        <w:rPr>
          <w:lang w:val="ru-RU"/>
        </w:rPr>
        <w:t xml:space="preserve"> </w:t>
        <w:br/>
        <w:t xml:space="preserve"> Основание: пункты 302, 302.1 Инструкции к Единому плану счетов № 157н, пункты 7, 21 СГС</w:t>
        <w:br/>
        <w:t xml:space="preserve"> «Резервы».</w:t>
      </w:r>
    </w:p>
    <w:p>
      <w:pPr>
        <w:pStyle w:val="BodyText"/>
        <w:jc w:val="both"/>
        <w:rPr>
          <w:color w:val="000000"/>
          <w:sz w:val="24"/>
          <w:szCs w:val="24"/>
          <w:lang w:val="ru-RU"/>
        </w:rPr>
      </w:pPr>
      <w:r>
        <w:rPr>
          <w:lang w:val="ru-RU"/>
        </w:rPr>
        <w:t>12.</w:t>
      </w:r>
      <w:r>
        <w:rPr/>
        <w:t> </w:t>
      </w:r>
      <w:r>
        <w:rPr>
          <w:lang w:val="ru-RU"/>
        </w:rPr>
        <w:t>События после отчетной даты</w:t>
      </w:r>
    </w:p>
    <w:p>
      <w:pPr>
        <w:pStyle w:val="BodyText"/>
        <w:jc w:val="both"/>
        <w:rPr>
          <w:color w:val="000000"/>
          <w:sz w:val="24"/>
          <w:szCs w:val="24"/>
          <w:lang w:val="ru-RU"/>
        </w:rPr>
      </w:pPr>
      <w:r>
        <w:rPr>
          <w:lang w:val="ru-RU"/>
        </w:rPr>
        <w:t>12.1. В данные бухгалтерского учета за отчетный период включается информация о событиях</w:t>
      </w:r>
      <w:r>
        <w:rPr/>
        <w:t> </w:t>
      </w:r>
      <w:r>
        <w:rPr>
          <w:lang w:val="ru-RU"/>
        </w:rPr>
        <w:t>после отчетной даты – существенных фактах хозяйственной жизни, которые произошли в</w:t>
      </w:r>
      <w:r>
        <w:rPr/>
        <w:t> </w:t>
      </w:r>
      <w:r>
        <w:rPr>
          <w:lang w:val="ru-RU"/>
        </w:rPr>
        <w:t>период между отчетной датой и датой подписания или принятия бухгалтерской (финансовой)</w:t>
      </w:r>
      <w:r>
        <w:rPr/>
        <w:t> </w:t>
      </w:r>
      <w:r>
        <w:rPr>
          <w:lang w:val="ru-RU"/>
        </w:rPr>
        <w:t>отчетности и оказали или могут оказать существенное влияние на финансовое состояние,</w:t>
      </w:r>
      <w:r>
        <w:rPr/>
        <w:t> </w:t>
      </w:r>
      <w:r>
        <w:rPr>
          <w:lang w:val="ru-RU"/>
        </w:rPr>
        <w:t>движение денег или результаты деятельности учреждения (далее – События).</w:t>
      </w:r>
    </w:p>
    <w:p>
      <w:pPr>
        <w:pStyle w:val="BodyText"/>
        <w:jc w:val="both"/>
        <w:rPr>
          <w:color w:val="000000"/>
          <w:sz w:val="24"/>
          <w:szCs w:val="24"/>
          <w:lang w:val="ru-RU"/>
        </w:rPr>
      </w:pPr>
      <w:r>
        <w:rPr>
          <w:lang w:val="ru-RU"/>
        </w:rPr>
        <w:t>Факт хозяйственной жизни признается существенным, если без знания о нем пользователи отчетности не могут достоверно оценить финансовое состояние, движение денежных средств</w:t>
      </w:r>
      <w:r>
        <w:rPr/>
        <w:t> </w:t>
      </w:r>
      <w:r>
        <w:rPr>
          <w:lang w:val="ru-RU"/>
        </w:rPr>
        <w:t>или результаты деятельности учреждения. Оценивает существенность влияний и</w:t>
      </w:r>
      <w:r>
        <w:rPr/>
        <w:t> </w:t>
      </w:r>
      <w:r>
        <w:rPr>
          <w:lang w:val="ru-RU"/>
        </w:rPr>
        <w:t>квалифицирует событие как событие после отчетной даты главный бухгалтер централизованной бухгалтерии на основе</w:t>
      </w:r>
      <w:r>
        <w:rPr/>
        <w:t> </w:t>
      </w:r>
      <w:r>
        <w:rPr>
          <w:lang w:val="ru-RU"/>
        </w:rPr>
        <w:t>своего профессионального суждения.</w:t>
      </w:r>
    </w:p>
    <w:p>
      <w:pPr>
        <w:pStyle w:val="BodyText"/>
        <w:jc w:val="both"/>
        <w:rPr>
          <w:color w:val="000000"/>
          <w:sz w:val="24"/>
          <w:szCs w:val="24"/>
          <w:lang w:val="ru-RU"/>
        </w:rPr>
      </w:pPr>
      <w:r>
        <w:rPr>
          <w:lang w:val="ru-RU"/>
        </w:rPr>
        <w:t>12.2. Событиями после отчетной даты признаются:</w:t>
      </w:r>
    </w:p>
    <w:p>
      <w:pPr>
        <w:pStyle w:val="BodyText"/>
        <w:numPr>
          <w:ilvl w:val="0"/>
          <w:numId w:val="22"/>
        </w:numPr>
        <w:jc w:val="both"/>
        <w:rPr>
          <w:color w:val="000000"/>
          <w:sz w:val="24"/>
          <w:szCs w:val="24"/>
          <w:lang w:val="ru-RU"/>
        </w:rPr>
      </w:pPr>
      <w:r>
        <w:rPr>
          <w:lang w:val="ru-RU"/>
        </w:rPr>
        <w:t>события, которые подтверждают существовавшие на отчетную дату хозяйственные условия учреждения. Централизованная бухгалтерия применяет перечень таких событий, приведенный в пункте7 СГС «События после отчетной даты»;</w:t>
      </w:r>
    </w:p>
    <w:p>
      <w:pPr>
        <w:pStyle w:val="BodyText"/>
        <w:numPr>
          <w:ilvl w:val="0"/>
          <w:numId w:val="22"/>
        </w:numPr>
        <w:jc w:val="both"/>
        <w:rPr>
          <w:color w:val="000000"/>
          <w:sz w:val="24"/>
          <w:szCs w:val="24"/>
          <w:lang w:val="ru-RU"/>
        </w:rPr>
      </w:pPr>
      <w:r>
        <w:rPr>
          <w:lang w:val="ru-RU"/>
        </w:rPr>
        <w:t>события,</w:t>
      </w:r>
      <w:r>
        <w:rPr/>
        <w:t> </w:t>
      </w:r>
      <w:r>
        <w:rPr>
          <w:lang w:val="ru-RU"/>
        </w:rPr>
        <w:t>которые указывают на условия хозяйственной деятельности, факты хозяйственной жизни или обстоятельства, возникшие после отчетной даты. Централизованная бухгалтерия</w:t>
      </w:r>
      <w:r>
        <w:rPr/>
        <w:t> </w:t>
      </w:r>
      <w:r>
        <w:rPr>
          <w:lang w:val="ru-RU"/>
        </w:rPr>
        <w:t>применяет перечень таких событий, приведенный в пункте 7 СГС «События после отчетной</w:t>
      </w:r>
      <w:r>
        <w:rPr/>
        <w:t> </w:t>
      </w:r>
      <w:r>
        <w:rPr>
          <w:lang w:val="ru-RU"/>
        </w:rPr>
        <w:t>даты».</w:t>
      </w:r>
    </w:p>
    <w:p>
      <w:pPr>
        <w:pStyle w:val="BodyText"/>
        <w:jc w:val="both"/>
        <w:rPr>
          <w:color w:val="000000"/>
          <w:sz w:val="24"/>
          <w:szCs w:val="24"/>
          <w:lang w:val="ru-RU"/>
        </w:rPr>
      </w:pPr>
      <w:r>
        <w:rPr>
          <w:lang w:val="ru-RU"/>
        </w:rPr>
        <w:t>12.3. Событие отражается в учете и отчетности в следующем порядке:</w:t>
      </w:r>
    </w:p>
    <w:p>
      <w:pPr>
        <w:pStyle w:val="BodyText"/>
        <w:jc w:val="both"/>
        <w:rPr>
          <w:color w:val="000000"/>
          <w:sz w:val="24"/>
          <w:szCs w:val="24"/>
        </w:rPr>
      </w:pPr>
      <w:r>
        <w:rPr>
          <w:lang w:val="ru-RU"/>
        </w:rPr>
        <w:t>12.3.1. Событие, которое подтверждает хозяйственные условия, существовавшие на отчетную</w:t>
      </w:r>
      <w:r>
        <w:rPr/>
        <w:t> </w:t>
      </w:r>
      <w:r>
        <w:rPr>
          <w:lang w:val="ru-RU"/>
        </w:rPr>
        <w:t xml:space="preserve">дату, отражается в учете отчетного периода. </w:t>
      </w:r>
      <w:r>
        <w:rPr/>
        <w:t>При этом делается:</w:t>
      </w:r>
    </w:p>
    <w:p>
      <w:pPr>
        <w:pStyle w:val="BodyText"/>
        <w:numPr>
          <w:ilvl w:val="0"/>
          <w:numId w:val="23"/>
        </w:numPr>
        <w:jc w:val="both"/>
        <w:rPr>
          <w:color w:val="000000"/>
          <w:sz w:val="24"/>
          <w:szCs w:val="24"/>
          <w:lang w:val="ru-RU"/>
        </w:rPr>
      </w:pPr>
      <w:r>
        <w:rPr>
          <w:lang w:val="ru-RU"/>
        </w:rPr>
        <w:t>дополнительная бухгалтерская запись, которая отражает это событие;</w:t>
      </w:r>
    </w:p>
    <w:p>
      <w:pPr>
        <w:pStyle w:val="BodyText"/>
        <w:numPr>
          <w:ilvl w:val="0"/>
          <w:numId w:val="23"/>
        </w:numPr>
        <w:jc w:val="both"/>
        <w:rPr>
          <w:color w:val="000000"/>
          <w:sz w:val="24"/>
          <w:szCs w:val="24"/>
          <w:lang w:val="ru-RU"/>
        </w:rPr>
      </w:pPr>
      <w:r>
        <w:rPr>
          <w:lang w:val="ru-RU"/>
        </w:rPr>
        <w:t>либо запись способом «красное сторно» и (или) дополнительная бухгалтерская запись на сумму, отраженную в бухгалтерском учете.</w:t>
      </w:r>
    </w:p>
    <w:p>
      <w:pPr>
        <w:pStyle w:val="BodyText"/>
        <w:jc w:val="both"/>
        <w:rPr>
          <w:color w:val="000000"/>
          <w:sz w:val="24"/>
          <w:szCs w:val="24"/>
          <w:lang w:val="ru-RU"/>
        </w:rPr>
      </w:pPr>
      <w:r>
        <w:rPr>
          <w:lang w:val="ru-RU"/>
        </w:rPr>
        <w:t>События отражаются в регистрах бухгалтерского учета в последний день отчетного периода до заключительных операций по закрытию счетов. Данные бухгалтерского учета отражаются в соответствующих формах отчетности с учетом событий после отчетной даты.</w:t>
      </w:r>
    </w:p>
    <w:p>
      <w:pPr>
        <w:pStyle w:val="BodyText"/>
        <w:jc w:val="both"/>
        <w:rPr>
          <w:lang w:val="ru-RU"/>
        </w:rPr>
      </w:pPr>
      <w:r>
        <w:rPr>
          <w:lang w:val="ru-RU"/>
        </w:rPr>
        <w:t>12.3.2. Событие, указывающее на возникшие после отчетной даты хозяйственные условия, отражается в бухгалтерском учете периода, следующего за отчетным. Аналогичным образом отражается событие, которое не отражено в учете и отчетности отчетного периода из-за несоблюдения сроков представления отчетности или из-за позднего поступления первичных учетных документов. При этом информация о таком событии и его денежная оценка</w:t>
      </w:r>
      <w:r>
        <w:rPr>
          <w:color w:val="000000"/>
          <w:lang w:val="ru-RU"/>
        </w:rPr>
        <w:t xml:space="preserve"> приводятся в разделе 5 текстовой части</w:t>
      </w:r>
      <w:r>
        <w:rPr>
          <w:lang w:val="ru-RU"/>
        </w:rPr>
        <w:t xml:space="preserve"> пояснительной записки.</w:t>
      </w:r>
    </w:p>
    <w:p>
      <w:pPr>
        <w:pStyle w:val="BodyText"/>
        <w:jc w:val="both"/>
        <w:rPr>
          <w:color w:val="000000"/>
          <w:sz w:val="24"/>
          <w:szCs w:val="24"/>
          <w:lang w:val="ru-RU"/>
        </w:rPr>
      </w:pPr>
      <w:r>
        <w:rPr>
          <w:b/>
          <w:bCs/>
        </w:rPr>
        <w:t>V</w:t>
      </w:r>
      <w:r>
        <w:rPr>
          <w:b/>
          <w:bCs/>
          <w:lang w:val="ru-RU"/>
        </w:rPr>
        <w:t>. Бухгалтерская (финансовая) отчетность</w:t>
      </w:r>
    </w:p>
    <w:p>
      <w:pPr>
        <w:pStyle w:val="BodyText"/>
        <w:jc w:val="both"/>
        <w:rPr>
          <w:color w:val="000000"/>
          <w:sz w:val="24"/>
          <w:szCs w:val="24"/>
          <w:lang w:val="ru-RU"/>
        </w:rPr>
      </w:pPr>
      <w:r>
        <w:rPr>
          <w:lang w:val="ru-RU"/>
        </w:rPr>
        <w:t>1. Централизованная бухгалтерия формирует бухгалтерскую (бюджетную) отчетность учреждений в  программном продукте  1С «Предприятие».</w:t>
      </w:r>
    </w:p>
    <w:p>
      <w:pPr>
        <w:pStyle w:val="BodyText"/>
        <w:jc w:val="both"/>
        <w:rPr>
          <w:color w:val="000000"/>
          <w:sz w:val="24"/>
          <w:szCs w:val="24"/>
          <w:lang w:val="ru-RU"/>
        </w:rPr>
      </w:pPr>
      <w:r>
        <w:rPr>
          <w:lang w:val="ru-RU"/>
        </w:rPr>
        <w:t>2. В пояснениях к отчетности за отчетный период раскрывается:</w:t>
      </w:r>
    </w:p>
    <w:p>
      <w:pPr>
        <w:pStyle w:val="BodyText"/>
        <w:numPr>
          <w:ilvl w:val="0"/>
          <w:numId w:val="24"/>
        </w:numPr>
        <w:jc w:val="both"/>
        <w:rPr>
          <w:color w:val="000000"/>
          <w:sz w:val="24"/>
          <w:szCs w:val="24"/>
          <w:lang w:val="ru-RU"/>
        </w:rPr>
      </w:pPr>
      <w:r>
        <w:rPr>
          <w:lang w:val="ru-RU"/>
        </w:rPr>
        <w:t>представленная учреждениями информация об условиях хозяйственной жизни, существующих на отчетную дату, если такая информация подлежит раскрытию в отчетности;</w:t>
      </w:r>
    </w:p>
    <w:p>
      <w:pPr>
        <w:pStyle w:val="BodyText"/>
        <w:numPr>
          <w:ilvl w:val="0"/>
          <w:numId w:val="24"/>
        </w:numPr>
        <w:jc w:val="both"/>
        <w:rPr>
          <w:color w:val="000000"/>
          <w:sz w:val="24"/>
          <w:szCs w:val="24"/>
          <w:lang w:val="ru-RU"/>
        </w:rPr>
      </w:pPr>
      <w:r>
        <w:rPr>
          <w:lang w:val="ru-RU"/>
        </w:rPr>
        <w:t>информация о событиях после отчетной даты, свидетельствующая о возникших после отчетной даты условиях хозяйственной жизни учреждения. В частности, описывается само событие и дается оценка его последствий в денежном выражении. При невозможности произвести денежную оценку</w:t>
      </w:r>
      <w:r>
        <w:rPr/>
        <w:t> </w:t>
      </w:r>
      <w:r>
        <w:rPr>
          <w:lang w:val="ru-RU"/>
        </w:rPr>
        <w:t>на это указывается вместе с причинами, по которым сделать это невозможно.</w:t>
      </w:r>
    </w:p>
    <w:p>
      <w:pPr>
        <w:pStyle w:val="BodyText"/>
        <w:jc w:val="both"/>
        <w:rPr>
          <w:color w:val="000000"/>
          <w:sz w:val="24"/>
          <w:szCs w:val="24"/>
          <w:lang w:val="ru-RU"/>
        </w:rPr>
      </w:pPr>
      <w:r>
        <w:rPr>
          <w:lang w:val="ru-RU"/>
        </w:rPr>
        <w:t>3. В целях составления отчета о движении денежных средств величина денежных средств определяется прямым методом и рассчитывается как разница между всеми денежными притоками учреждения от всех видов деятельности и их от токами.</w:t>
      </w:r>
    </w:p>
    <w:p>
      <w:pPr>
        <w:pStyle w:val="BodyText"/>
        <w:jc w:val="both"/>
        <w:rPr>
          <w:color w:val="000000"/>
          <w:sz w:val="24"/>
          <w:szCs w:val="24"/>
          <w:lang w:val="ru-RU"/>
        </w:rPr>
      </w:pPr>
      <w:r>
        <w:rPr>
          <w:b/>
          <w:bCs/>
        </w:rPr>
        <w:t>VI</w:t>
      </w:r>
      <w:r>
        <w:rPr>
          <w:b/>
          <w:bCs/>
          <w:lang w:val="ru-RU"/>
        </w:rPr>
        <w:t>. Порядок внесения изменений в единую учетную политику централизованного бухгалтерского учета</w:t>
      </w:r>
    </w:p>
    <w:p>
      <w:pPr>
        <w:pStyle w:val="BodyText"/>
        <w:jc w:val="both"/>
        <w:rPr>
          <w:color w:val="000000"/>
          <w:sz w:val="24"/>
          <w:szCs w:val="24"/>
          <w:lang w:val="ru-RU"/>
        </w:rPr>
      </w:pPr>
      <w:r>
        <w:rPr>
          <w:lang w:val="ru-RU"/>
        </w:rPr>
        <w:t>Внесение изменений в единую учетную политику централизованного бухгалтерского учета осуществляется централизованной бухгалтерией в случаях:</w:t>
      </w:r>
    </w:p>
    <w:p>
      <w:pPr>
        <w:pStyle w:val="BodyText"/>
        <w:jc w:val="both"/>
        <w:rPr>
          <w:color w:val="000000"/>
          <w:sz w:val="24"/>
          <w:szCs w:val="24"/>
          <w:lang w:val="ru-RU"/>
        </w:rPr>
      </w:pPr>
      <w:r>
        <w:rPr>
          <w:lang w:val="ru-RU"/>
        </w:rPr>
        <w:t>а) изменения законодательства Российской Федерации о бухгалтерском учете, бюджетного законодательства Российской Федерации, нормативных правовых актов, регулирующих ведение бухгалтерского (бюджетного) учета и составление бухгалтерской (финансовой) отчетности;</w:t>
      </w:r>
    </w:p>
    <w:p>
      <w:pPr>
        <w:pStyle w:val="BodyText"/>
        <w:jc w:val="both"/>
        <w:rPr>
          <w:color w:val="000000"/>
          <w:sz w:val="24"/>
          <w:szCs w:val="24"/>
          <w:lang w:val="ru-RU"/>
        </w:rPr>
      </w:pPr>
      <w:r>
        <w:rPr>
          <w:lang w:val="ru-RU"/>
        </w:rPr>
        <w:t>б) разработки</w:t>
      </w:r>
      <w:r>
        <w:rPr/>
        <w:t> </w:t>
      </w:r>
      <w:r>
        <w:rPr>
          <w:lang w:val="ru-RU"/>
        </w:rPr>
        <w:t>и выбора централизованной бухгалтерией новых правил (способов) ведения бухгалтерского учета, применение которых позволит представить в бухгалтерской (финансовой) отчетности релевантную и достоверную информацию;</w:t>
      </w:r>
    </w:p>
    <w:p>
      <w:pPr>
        <w:pStyle w:val="BodyText"/>
        <w:jc w:val="both"/>
        <w:rPr>
          <w:color w:val="000000"/>
          <w:sz w:val="24"/>
          <w:szCs w:val="24"/>
          <w:lang w:val="ru-RU"/>
        </w:rPr>
      </w:pPr>
      <w:r>
        <w:rPr>
          <w:lang w:val="ru-RU"/>
        </w:rPr>
        <w:t>в) существенного изменения условий деятельности учреждений – субъектов централизованного учета, включая их реорганизацию, ликвидацию (упразднение), изменение возложенных на них полномочий и (или) выполняемых ими функций;</w:t>
      </w:r>
    </w:p>
    <w:p>
      <w:pPr>
        <w:pStyle w:val="BodyText"/>
        <w:jc w:val="both"/>
        <w:rPr>
          <w:color w:val="000000"/>
          <w:sz w:val="24"/>
          <w:szCs w:val="24"/>
          <w:lang w:val="ru-RU"/>
        </w:rPr>
      </w:pPr>
      <w:r>
        <w:rPr>
          <w:lang w:val="ru-RU"/>
        </w:rPr>
        <w:t>г) поступления предложений по совершенствованию методов ведения централизованного бухгалтерского учета от учреждений в целях обеспечения их информацией об активах, обязательствах и финансовом результате, необходимой для исполнения возложенных на них функций;</w:t>
      </w:r>
    </w:p>
    <w:p>
      <w:pPr>
        <w:pStyle w:val="BodyText"/>
        <w:jc w:val="both"/>
        <w:rPr>
          <w:color w:val="000000"/>
          <w:sz w:val="24"/>
          <w:szCs w:val="24"/>
          <w:lang w:val="ru-RU"/>
        </w:rPr>
      </w:pPr>
      <w:r>
        <w:rPr>
          <w:lang w:val="ru-RU"/>
        </w:rPr>
        <w:t>д) поступления предложений от учредителей учреждений, финансового органа в целях совершенствования методов ведения централизованного бухгалтерского учета.</w:t>
      </w:r>
    </w:p>
    <w:p>
      <w:pPr>
        <w:pStyle w:val="BodyText"/>
        <w:jc w:val="both"/>
        <w:rPr>
          <w:color w:val="000000"/>
          <w:sz w:val="24"/>
          <w:szCs w:val="24"/>
          <w:lang w:val="ru-RU"/>
        </w:rPr>
      </w:pPr>
      <w:r>
        <w:rPr>
          <w:lang w:val="ru-RU"/>
        </w:rPr>
        <w:t>Изменения в порядке организации  и ведения централизованного бухгалтерского учета применяются с начала отчетного года, если иное не обусловливается причиной такого изменения.</w:t>
      </w:r>
    </w:p>
    <w:p>
      <w:pPr>
        <w:pStyle w:val="BodyText"/>
        <w:jc w:val="both"/>
        <w:rPr>
          <w:color w:val="FF0000"/>
          <w:sz w:val="24"/>
          <w:szCs w:val="24"/>
          <w:lang w:val="ru-RU"/>
        </w:rPr>
      </w:pPr>
      <w:r>
        <w:rPr>
          <w:lang w:val="ru-RU"/>
        </w:rPr>
        <w:t xml:space="preserve">Изменение в порядке организации  и ведения централизованного бухгалтерского учета в течение отчетного года, не связанное с изменением нормативных правовых актов, регулирующих ведение бюджетного учета и составление бюджетной отчетности, </w:t>
      </w:r>
      <w:r>
        <w:rPr>
          <w:color w:val="000000"/>
          <w:lang w:val="ru-RU"/>
        </w:rPr>
        <w:t>производится по решению финансового органа.</w:t>
      </w:r>
    </w:p>
    <w:p>
      <w:pPr>
        <w:pStyle w:val="BodyText"/>
        <w:jc w:val="both"/>
        <w:rPr>
          <w:color w:val="000000"/>
          <w:sz w:val="24"/>
          <w:szCs w:val="24"/>
          <w:lang w:val="ru-RU"/>
        </w:rPr>
      </w:pPr>
      <w:r>
        <w:rPr>
          <w:lang w:val="ru-RU"/>
        </w:rPr>
        <w:t>Внесение изменений в единую учетную политику по предложениям учреждений, их учредителей, финансового органа (далее – инициатор изменений) осуществляется с учетом следующих положений.</w:t>
      </w:r>
    </w:p>
    <w:p>
      <w:pPr>
        <w:pStyle w:val="BodyText"/>
        <w:jc w:val="both"/>
        <w:rPr>
          <w:color w:val="000000"/>
          <w:sz w:val="24"/>
          <w:szCs w:val="24"/>
          <w:lang w:val="ru-RU"/>
        </w:rPr>
      </w:pPr>
      <w:r>
        <w:rPr>
          <w:lang w:val="ru-RU"/>
        </w:rPr>
        <w:t>В предложения по изменению единой</w:t>
      </w:r>
      <w:r>
        <w:rPr/>
        <w:t> </w:t>
      </w:r>
      <w:r>
        <w:rPr>
          <w:lang w:val="ru-RU"/>
        </w:rPr>
        <w:t>учетной</w:t>
      </w:r>
      <w:r>
        <w:rPr/>
        <w:t> </w:t>
      </w:r>
      <w:r>
        <w:rPr>
          <w:lang w:val="ru-RU"/>
        </w:rPr>
        <w:t>политики, подготовленные инициатором изменений, включается следующая информация:</w:t>
      </w:r>
    </w:p>
    <w:p>
      <w:pPr>
        <w:pStyle w:val="BodyText"/>
        <w:numPr>
          <w:ilvl w:val="0"/>
          <w:numId w:val="25"/>
        </w:numPr>
        <w:jc w:val="both"/>
        <w:rPr>
          <w:color w:val="000000"/>
          <w:sz w:val="24"/>
          <w:szCs w:val="24"/>
          <w:lang w:val="ru-RU"/>
        </w:rPr>
      </w:pPr>
      <w:r>
        <w:rPr>
          <w:lang w:val="ru-RU"/>
        </w:rPr>
        <w:t>обоснование необходимости внесения изменений</w:t>
      </w:r>
      <w:r>
        <w:rPr/>
        <w:t> </w:t>
      </w:r>
      <w:r>
        <w:rPr>
          <w:lang w:val="ru-RU"/>
        </w:rPr>
        <w:t>с обоснованием причины возникновения такого изменения;</w:t>
      </w:r>
    </w:p>
    <w:p>
      <w:pPr>
        <w:pStyle w:val="BodyText"/>
        <w:numPr>
          <w:ilvl w:val="0"/>
          <w:numId w:val="25"/>
        </w:numPr>
        <w:jc w:val="both"/>
        <w:rPr>
          <w:color w:val="000000"/>
          <w:sz w:val="24"/>
          <w:szCs w:val="24"/>
          <w:lang w:val="ru-RU"/>
        </w:rPr>
      </w:pPr>
      <w:r>
        <w:rPr>
          <w:lang w:val="ru-RU"/>
        </w:rPr>
        <w:t>данные, подтверждающие неэффективность и (или) невозможность применения действующих положений единой учетной политики, ухудшающих качество и (или) препятствующих осуществлению централизуемых полномочий;</w:t>
      </w:r>
    </w:p>
    <w:p>
      <w:pPr>
        <w:pStyle w:val="BodyText"/>
        <w:jc w:val="both"/>
        <w:rPr>
          <w:color w:val="FF0000"/>
          <w:lang w:val="ru-RU"/>
        </w:rPr>
      </w:pPr>
      <w:r>
        <w:rPr>
          <w:lang w:val="ru-RU"/>
        </w:rPr>
        <w:t xml:space="preserve">Централизованная бухгалтерия,  в течение 30 рабочих дней от даты поступления предложений, </w:t>
      </w:r>
      <w:r>
        <w:rPr/>
        <w:t> </w:t>
      </w:r>
      <w:r>
        <w:rPr>
          <w:lang w:val="ru-RU"/>
        </w:rPr>
        <w:t>принимает решение о внесении соответствующего изменения в единую учетную политику</w:t>
      </w:r>
      <w:r>
        <w:rPr/>
        <w:t> </w:t>
      </w:r>
      <w:r>
        <w:rPr>
          <w:lang w:val="ru-RU"/>
        </w:rPr>
        <w:t xml:space="preserve">либо подготавливает мотивированное заключение о нецелесообразности представленных предложений по изменению, </w:t>
      </w:r>
      <w:r>
        <w:rPr/>
        <w:t> </w:t>
      </w:r>
      <w:r>
        <w:rPr>
          <w:lang w:val="ru-RU"/>
        </w:rPr>
        <w:t xml:space="preserve">ввиду их </w:t>
      </w:r>
      <w:r>
        <w:rPr>
          <w:color w:val="000000"/>
          <w:lang w:val="ru-RU"/>
        </w:rPr>
        <w:t>несоответствия принципам концептуальных основ бухгалтерского учета,</w:t>
      </w:r>
      <w:r>
        <w:rPr>
          <w:color w:val="000000"/>
        </w:rPr>
        <w:t> </w:t>
      </w:r>
      <w:r>
        <w:rPr>
          <w:color w:val="000000"/>
          <w:lang w:val="ru-RU"/>
        </w:rPr>
        <w:t xml:space="preserve"> утвержденных</w:t>
      </w:r>
      <w:r>
        <w:rPr>
          <w:color w:val="000000"/>
        </w:rPr>
        <w:t> </w:t>
      </w:r>
      <w:r>
        <w:rPr>
          <w:color w:val="000000"/>
          <w:lang w:val="ru-RU"/>
        </w:rPr>
        <w:t>СГС «Концептуальные основы бухучета и отчетности»</w:t>
      </w:r>
    </w:p>
    <w:p>
      <w:pPr>
        <w:pStyle w:val="BodyText"/>
        <w:jc w:val="both"/>
        <w:rPr>
          <w:lang w:val="ru-RU"/>
        </w:rPr>
      </w:pPr>
      <w:r>
        <w:rPr>
          <w:lang w:val="ru-RU"/>
        </w:rPr>
      </w:r>
    </w:p>
    <w:p>
      <w:pPr>
        <w:pStyle w:val="BodyText"/>
        <w:spacing w:before="0" w:after="140"/>
        <w:jc w:val="both"/>
        <w:rPr>
          <w:lang w:val="ru-RU"/>
        </w:rPr>
      </w:pPr>
      <w:r>
        <w:rPr>
          <w:lang w:val="ru-RU"/>
        </w:rPr>
        <w:t>Главный бухгалтер МКУ ЦБ О                                                                                                   О.В.Кузнецова</w:t>
      </w:r>
    </w:p>
    <w:sectPr>
      <w:type w:val="nextPage"/>
      <w:pgSz w:w="11906" w:h="16838"/>
      <w:pgMar w:left="1020" w:right="716" w:gutter="0" w:header="0" w:top="1440" w:footer="0" w:bottom="1440"/>
      <w:pgNumType w:fmt="decimal"/>
      <w:formProt w:val="false"/>
      <w:textDirection w:val="lrTb"/>
      <w:docGrid w:type="default" w:linePitch="24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ambria">
    <w:charset w:val="cc"/>
    <w:family w:val="roman"/>
    <w:pitch w:val="variable"/>
  </w:font>
  <w:font w:name="Liberation Sans">
    <w:altName w:val="Arial"/>
    <w:charset w:val="cc"/>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7">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semiHidden="0" w:unhideWhenUsed="0" w:qFormat="1"/>
    <w:lsdException w:name="heading 3" w:locked="1" w:uiPriority="0"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semiHidden="0" w:unhideWhenUsed="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280" w:after="280"/>
      <w:jc w:val="left"/>
    </w:pPr>
    <w:rPr>
      <w:rFonts w:ascii="Times New Roman" w:hAnsi="Times New Roman" w:eastAsia="Times New Roman" w:cs="Times New Roman"/>
      <w:color w:val="00000A"/>
      <w:kern w:val="0"/>
      <w:sz w:val="22"/>
      <w:szCs w:val="22"/>
      <w:lang w:val="en-US" w:eastAsia="en-US" w:bidi="ar-SA"/>
    </w:rPr>
  </w:style>
  <w:style w:type="paragraph" w:styleId="Heading1">
    <w:name w:val="Heading 1"/>
    <w:basedOn w:val="Normal"/>
    <w:next w:val="Normal"/>
    <w:link w:val="Heading1Char"/>
    <w:uiPriority w:val="99"/>
    <w:qFormat/>
    <w:pPr>
      <w:keepNext w:val="true"/>
      <w:keepLines/>
      <w:outlineLvl w:val="0"/>
    </w:pPr>
    <w:rPr>
      <w:rFonts w:ascii="Cambria" w:hAnsi="Cambria" w:cs="Cambria"/>
      <w:b/>
      <w:bCs/>
      <w:color w:val="365F91"/>
      <w:sz w:val="28"/>
      <w:szCs w:val="28"/>
    </w:rPr>
  </w:style>
  <w:style w:type="paragraph" w:styleId="Heading2">
    <w:name w:val="Heading 2"/>
    <w:basedOn w:val="Style11"/>
    <w:link w:val="Heading2Char"/>
    <w:uiPriority w:val="99"/>
    <w:qFormat/>
    <w:pPr>
      <w:outlineLvl w:val="1"/>
    </w:pPr>
    <w:rPr/>
  </w:style>
  <w:style w:type="paragraph" w:styleId="Heading3">
    <w:name w:val="Heading 3"/>
    <w:basedOn w:val="Style11"/>
    <w:link w:val="Heading3Char"/>
    <w:uiPriority w:val="99"/>
    <w:qFormat/>
    <w:pPr>
      <w:outlineLvl w:val="2"/>
    </w:pPr>
    <w:rPr/>
  </w:style>
  <w:style w:type="character" w:styleId="DefaultParagraphFont" w:default="1">
    <w:name w:val="Default Paragraph Font"/>
    <w:uiPriority w:val="99"/>
    <w:semiHidden/>
    <w:qFormat/>
    <w:rPr/>
  </w:style>
  <w:style w:type="character" w:styleId="Heading1Char" w:customStyle="1">
    <w:name w:val="Heading 1 Char"/>
    <w:basedOn w:val="DefaultParagraphFont"/>
    <w:uiPriority w:val="99"/>
    <w:qFormat/>
    <w:locked/>
    <w:rPr>
      <w:rFonts w:ascii="Cambria" w:hAnsi="Cambria" w:cs="Cambria"/>
      <w:b/>
      <w:bCs/>
      <w:color w:val="365F91"/>
      <w:sz w:val="28"/>
      <w:szCs w:val="28"/>
    </w:rPr>
  </w:style>
  <w:style w:type="character" w:styleId="Heading2Char" w:customStyle="1">
    <w:name w:val="Heading 2 Char"/>
    <w:basedOn w:val="DefaultParagraphFont"/>
    <w:uiPriority w:val="99"/>
    <w:semiHidden/>
    <w:qFormat/>
    <w:locked/>
    <w:rsid w:val="000132df"/>
    <w:rPr>
      <w:rFonts w:ascii="Cambria" w:hAnsi="Cambria" w:cs="Times New Roman"/>
      <w:b/>
      <w:bCs/>
      <w:i/>
      <w:iCs/>
      <w:color w:val="00000A"/>
      <w:sz w:val="28"/>
      <w:szCs w:val="28"/>
      <w:lang w:val="en-US" w:eastAsia="en-US"/>
    </w:rPr>
  </w:style>
  <w:style w:type="character" w:styleId="Heading3Char" w:customStyle="1">
    <w:name w:val="Heading 3 Char"/>
    <w:basedOn w:val="DefaultParagraphFont"/>
    <w:uiPriority w:val="99"/>
    <w:semiHidden/>
    <w:qFormat/>
    <w:locked/>
    <w:rsid w:val="000132df"/>
    <w:rPr>
      <w:rFonts w:ascii="Cambria" w:hAnsi="Cambria" w:cs="Times New Roman"/>
      <w:b/>
      <w:bCs/>
      <w:color w:val="00000A"/>
      <w:sz w:val="26"/>
      <w:szCs w:val="26"/>
      <w:lang w:val="en-US" w:eastAsia="en-US"/>
    </w:rPr>
  </w:style>
  <w:style w:type="character" w:styleId="BodyTextChar" w:customStyle="1">
    <w:name w:val="Body Text Char"/>
    <w:basedOn w:val="DefaultParagraphFont"/>
    <w:uiPriority w:val="99"/>
    <w:semiHidden/>
    <w:qFormat/>
    <w:locked/>
    <w:rsid w:val="000132df"/>
    <w:rPr>
      <w:rFonts w:cs="Times New Roman"/>
      <w:color w:val="00000A"/>
      <w:lang w:val="en-US" w:eastAsia="en-US"/>
    </w:rPr>
  </w:style>
  <w:style w:type="character" w:styleId="TitleChar" w:customStyle="1">
    <w:name w:val="Title Char"/>
    <w:basedOn w:val="DefaultParagraphFont"/>
    <w:uiPriority w:val="99"/>
    <w:qFormat/>
    <w:locked/>
    <w:rsid w:val="000132df"/>
    <w:rPr>
      <w:rFonts w:ascii="Cambria" w:hAnsi="Cambria" w:cs="Times New Roman"/>
      <w:b/>
      <w:bCs/>
      <w:color w:val="00000A"/>
      <w:sz w:val="32"/>
      <w:szCs w:val="32"/>
      <w:lang w:val="en-US" w:eastAsia="en-US"/>
    </w:rPr>
  </w:style>
  <w:style w:type="character" w:styleId="SubtitleChar" w:customStyle="1">
    <w:name w:val="Subtitle Char"/>
    <w:basedOn w:val="DefaultParagraphFont"/>
    <w:uiPriority w:val="99"/>
    <w:qFormat/>
    <w:locked/>
    <w:rsid w:val="000132df"/>
    <w:rPr>
      <w:rFonts w:ascii="Cambria" w:hAnsi="Cambria" w:cs="Times New Roman"/>
      <w:color w:val="00000A"/>
      <w:sz w:val="24"/>
      <w:szCs w:val="24"/>
      <w:lang w:val="en-US" w:eastAsia="en-US"/>
    </w:rPr>
  </w:style>
  <w:style w:type="character" w:styleId="BodyTextChar1" w:customStyle="1">
    <w:name w:val="Body Text Char1"/>
    <w:basedOn w:val="DefaultParagraphFont"/>
    <w:uiPriority w:val="99"/>
    <w:semiHidden/>
    <w:qFormat/>
    <w:rsid w:val="009b7077"/>
    <w:rPr>
      <w:color w:val="00000A"/>
      <w:lang w:val="en-US" w:eastAsia="en-US"/>
    </w:rPr>
  </w:style>
  <w:style w:type="character" w:styleId="SubtitleChar1" w:customStyle="1">
    <w:name w:val="Subtitle Char1"/>
    <w:basedOn w:val="DefaultParagraphFont"/>
    <w:uiPriority w:val="11"/>
    <w:qFormat/>
    <w:rsid w:val="009b7077"/>
    <w:rPr>
      <w:rFonts w:ascii="Cambria" w:hAnsi="Cambria" w:eastAsia="" w:cs="" w:asciiTheme="majorHAnsi" w:cstheme="majorBidi" w:eastAsiaTheme="majorEastAsia" w:hAnsiTheme="majorHAnsi"/>
      <w:color w:val="00000A"/>
      <w:sz w:val="24"/>
      <w:szCs w:val="24"/>
      <w:lang w:val="en-US" w:eastAsia="en-US"/>
    </w:rPr>
  </w:style>
  <w:style w:type="character" w:styleId="HeaderChar" w:customStyle="1">
    <w:name w:val="Header Char"/>
    <w:basedOn w:val="DefaultParagraphFont"/>
    <w:uiPriority w:val="99"/>
    <w:semiHidden/>
    <w:qFormat/>
    <w:rsid w:val="009b7077"/>
    <w:rPr>
      <w:color w:val="00000A"/>
      <w:lang w:val="en-US" w:eastAsia="en-US"/>
    </w:rPr>
  </w:style>
  <w:style w:type="character" w:styleId="Hyperlink">
    <w:name w:val="Hyperlink"/>
    <w:rPr>
      <w:color w:val="000080"/>
      <w:u w:val="single"/>
      <w:lang w:val="zxx" w:eastAsia="zxx" w:bidi="zxx"/>
    </w:rPr>
  </w:style>
  <w:style w:type="paragraph" w:styleId="Style11" w:customStyle="1">
    <w:name w:val="Заголовок"/>
    <w:basedOn w:val="Normal"/>
    <w:next w:val="BodyText"/>
    <w:uiPriority w:val="99"/>
    <w:qFormat/>
    <w:pPr>
      <w:keepNext w:val="true"/>
      <w:spacing w:before="240" w:after="120"/>
    </w:pPr>
    <w:rPr>
      <w:rFonts w:ascii="Liberation Sans" w:hAnsi="Liberation Sans" w:eastAsia="Microsoft YaHei" w:cs="Mangal"/>
      <w:sz w:val="28"/>
      <w:szCs w:val="28"/>
    </w:rPr>
  </w:style>
  <w:style w:type="paragraph" w:styleId="BodyText">
    <w:name w:val="Body Text"/>
    <w:basedOn w:val="Normal"/>
    <w:link w:val="BodyTextChar"/>
    <w:uiPriority w:val="99"/>
    <w:pPr>
      <w:spacing w:lineRule="auto" w:line="288" w:before="0" w:after="140"/>
    </w:pPr>
    <w:rPr/>
  </w:style>
  <w:style w:type="paragraph" w:styleId="List">
    <w:name w:val="List"/>
    <w:basedOn w:val="BodyText"/>
    <w:uiPriority w:val="99"/>
    <w:pPr/>
    <w:rPr>
      <w:rFonts w:cs="Mangal"/>
    </w:rPr>
  </w:style>
  <w:style w:type="paragraph" w:styleId="Caption">
    <w:name w:val="Caption"/>
    <w:basedOn w:val="Normal"/>
    <w:qFormat/>
    <w:pPr>
      <w:suppressLineNumbers/>
      <w:spacing w:before="120" w:after="120"/>
    </w:pPr>
    <w:rPr>
      <w:rFonts w:cs="Arial"/>
      <w:i/>
      <w:iCs/>
      <w:sz w:val="24"/>
      <w:szCs w:val="24"/>
    </w:rPr>
  </w:style>
  <w:style w:type="paragraph" w:styleId="Style12">
    <w:name w:val="Указатель"/>
    <w:basedOn w:val="Normal"/>
    <w:qFormat/>
    <w:pPr>
      <w:suppressLineNumbers/>
    </w:pPr>
    <w:rPr>
      <w:rFonts w:cs="Arial"/>
    </w:rPr>
  </w:style>
  <w:style w:type="paragraph" w:styleId="Caption1">
    <w:name w:val="caption1"/>
    <w:basedOn w:val="Normal"/>
    <w:uiPriority w:val="99"/>
    <w:qFormat/>
    <w:rsid w:val="000132df"/>
    <w:pPr>
      <w:suppressLineNumbers/>
      <w:spacing w:before="120" w:after="120"/>
    </w:pPr>
    <w:rPr>
      <w:rFonts w:cs="Mangal"/>
      <w:i/>
      <w:iCs/>
      <w:sz w:val="24"/>
      <w:szCs w:val="24"/>
    </w:rPr>
  </w:style>
  <w:style w:type="paragraph" w:styleId="Index1">
    <w:name w:val="index 1"/>
    <w:basedOn w:val="Normal"/>
    <w:next w:val="Normal"/>
    <w:autoRedefine/>
    <w:uiPriority w:val="99"/>
    <w:semiHidden/>
    <w:qFormat/>
    <w:pPr>
      <w:ind w:hanging="220" w:left="220"/>
    </w:pPr>
    <w:rPr/>
  </w:style>
  <w:style w:type="paragraph" w:styleId="Indexheading">
    <w:name w:val="index heading"/>
    <w:basedOn w:val="Normal"/>
    <w:uiPriority w:val="99"/>
    <w:qFormat/>
    <w:pPr>
      <w:suppressLineNumbers/>
    </w:pPr>
    <w:rPr>
      <w:rFonts w:cs="Mangal"/>
    </w:rPr>
  </w:style>
  <w:style w:type="paragraph" w:styleId="Title1" w:customStyle="1">
    <w:name w:val="Title1"/>
    <w:basedOn w:val="Style11"/>
    <w:uiPriority w:val="99"/>
    <w:qFormat/>
    <w:pPr>
      <w:suppressLineNumbers/>
      <w:spacing w:before="120" w:after="120"/>
    </w:pPr>
    <w:rPr>
      <w:i/>
      <w:iCs/>
      <w:sz w:val="24"/>
      <w:szCs w:val="24"/>
    </w:rPr>
  </w:style>
  <w:style w:type="paragraph" w:styleId="Style13" w:customStyle="1">
    <w:name w:val="Блочная цитата"/>
    <w:basedOn w:val="Normal"/>
    <w:uiPriority w:val="99"/>
    <w:qFormat/>
    <w:pPr/>
    <w:rPr/>
  </w:style>
  <w:style w:type="paragraph" w:styleId="Subtitle">
    <w:name w:val="Subtitle"/>
    <w:basedOn w:val="Style11"/>
    <w:link w:val="SubtitleChar"/>
    <w:uiPriority w:val="99"/>
    <w:qFormat/>
    <w:pPr/>
    <w:rPr/>
  </w:style>
  <w:style w:type="paragraph" w:styleId="Style14" w:customStyle="1">
    <w:name w:val="Верхний и нижний колонтитулы"/>
    <w:basedOn w:val="Normal"/>
    <w:uiPriority w:val="99"/>
    <w:qFormat/>
    <w:rsid w:val="000132df"/>
    <w:pPr/>
    <w:rPr/>
  </w:style>
  <w:style w:type="paragraph" w:styleId="Style15">
    <w:name w:val="Колонтитул"/>
    <w:basedOn w:val="Normal"/>
    <w:qFormat/>
    <w:pPr/>
    <w:rPr/>
  </w:style>
  <w:style w:type="paragraph" w:styleId="Header">
    <w:name w:val="Header"/>
    <w:basedOn w:val="Normal"/>
    <w:link w:val="HeaderChar"/>
    <w:uiPriority w:val="99"/>
    <w:rsid w:val="000132df"/>
    <w:pPr/>
    <w:rPr/>
  </w:style>
  <w:style w:type="numbering" w:styleId="NoList" w:default="1">
    <w:name w:val="No List"/>
    <w:uiPriority w:val="99"/>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Normal_Wordconv</Template>
  <TotalTime>8782</TotalTime>
  <Application>LibreOffice/7.6.4.1$Windows_x86 LibreOffice_project/e19e193f88cd6c0525a17fb7a176ed8e6a3e2aa1</Application>
  <AppVersion>15.0000</AppVersion>
  <Pages>22</Pages>
  <Words>7365</Words>
  <Characters>52598</Characters>
  <CharactersWithSpaces>59790</CharactersWithSpaces>
  <Paragraphs>343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2011-11-02T04:15:00Z</dcterms:created>
  <dc:creator/>
  <dc:description>Подготовлено экспертами Актион-МЦФЭР</dc:description>
  <dc:language>ru-RU</dc:language>
  <cp:lastModifiedBy/>
  <cp:lastPrinted>2024-05-08T16:01:13Z</cp:lastPrinted>
  <dcterms:modified xsi:type="dcterms:W3CDTF">2024-05-12T16:19:40Z</dcterms:modified>
  <cp:revision>55</cp:revision>
  <dc:subject/>
  <dc:title/>
</cp:coreProperties>
</file>

<file path=docProps/custom.xml><?xml version="1.0" encoding="utf-8"?>
<Properties xmlns="http://schemas.openxmlformats.org/officeDocument/2006/custom-properties" xmlns:vt="http://schemas.openxmlformats.org/officeDocument/2006/docPropsVTypes"/>
</file>